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72C" w:rsidRDefault="00E6072C" w:rsidP="00E6072C">
      <w:pPr>
        <w:spacing w:after="0" w:line="240" w:lineRule="auto"/>
        <w:ind w:firstLine="709"/>
        <w:jc w:val="center"/>
        <w:rPr>
          <w:rFonts w:ascii="Arial" w:hAnsi="Arial" w:cs="Arial"/>
          <w:b/>
          <w:sz w:val="28"/>
          <w:szCs w:val="28"/>
          <w:lang w:val="kk-KZ"/>
        </w:rPr>
      </w:pPr>
      <w:r>
        <w:rPr>
          <w:rFonts w:ascii="Arial" w:hAnsi="Arial" w:cs="Arial"/>
          <w:b/>
          <w:sz w:val="28"/>
          <w:szCs w:val="28"/>
        </w:rPr>
        <w:t>СПРАВОЧНАЯ ИНФОРМАЦИЯ</w:t>
      </w:r>
    </w:p>
    <w:p w:rsidR="00E6072C" w:rsidRDefault="00E6072C" w:rsidP="00E6072C">
      <w:pPr>
        <w:spacing w:after="0" w:line="240" w:lineRule="auto"/>
        <w:ind w:firstLine="709"/>
        <w:jc w:val="center"/>
        <w:rPr>
          <w:rFonts w:ascii="Arial" w:hAnsi="Arial" w:cs="Arial"/>
          <w:b/>
          <w:sz w:val="28"/>
          <w:szCs w:val="28"/>
          <w:lang w:val="kk-KZ"/>
        </w:rPr>
      </w:pPr>
    </w:p>
    <w:p w:rsidR="00E6072C" w:rsidRDefault="00E6072C" w:rsidP="00E6072C">
      <w:pPr>
        <w:spacing w:after="0" w:line="240" w:lineRule="auto"/>
        <w:ind w:firstLine="708"/>
        <w:jc w:val="both"/>
        <w:rPr>
          <w:rFonts w:ascii="Arial" w:hAnsi="Arial" w:cs="Arial"/>
          <w:sz w:val="28"/>
          <w:szCs w:val="28"/>
        </w:rPr>
      </w:pPr>
      <w:r>
        <w:rPr>
          <w:rFonts w:ascii="Arial" w:hAnsi="Arial" w:cs="Arial"/>
          <w:sz w:val="28"/>
          <w:szCs w:val="28"/>
        </w:rPr>
        <w:t xml:space="preserve">В рамках реализации Государственной программы </w:t>
      </w:r>
      <w:r>
        <w:rPr>
          <w:rFonts w:ascii="Arial" w:hAnsi="Arial" w:cs="Arial"/>
          <w:sz w:val="28"/>
          <w:szCs w:val="28"/>
          <w:lang w:val="kk-KZ"/>
        </w:rPr>
        <w:t>индустриально-инновационного</w:t>
      </w:r>
      <w:r>
        <w:rPr>
          <w:rFonts w:ascii="Arial" w:hAnsi="Arial" w:cs="Arial"/>
          <w:sz w:val="28"/>
          <w:szCs w:val="28"/>
        </w:rPr>
        <w:t xml:space="preserve"> развития </w:t>
      </w:r>
      <w:r>
        <w:rPr>
          <w:rFonts w:ascii="Arial" w:hAnsi="Arial" w:cs="Arial"/>
          <w:sz w:val="28"/>
          <w:szCs w:val="28"/>
          <w:lang w:val="kk-KZ"/>
        </w:rPr>
        <w:t>на 2015-2019 гг. предусмотрено</w:t>
      </w:r>
      <w:r>
        <w:rPr>
          <w:rFonts w:ascii="Arial" w:hAnsi="Arial" w:cs="Arial"/>
          <w:sz w:val="28"/>
          <w:szCs w:val="28"/>
        </w:rPr>
        <w:t xml:space="preserve"> 6 проектов</w:t>
      </w:r>
      <w:r>
        <w:rPr>
          <w:rFonts w:ascii="Arial" w:hAnsi="Arial" w:cs="Arial"/>
          <w:sz w:val="28"/>
          <w:szCs w:val="28"/>
          <w:lang w:val="kk-KZ"/>
        </w:rPr>
        <w:t>, закрепленных за Министерством энергетики РК</w:t>
      </w:r>
      <w:r>
        <w:rPr>
          <w:rFonts w:ascii="Arial" w:hAnsi="Arial" w:cs="Arial"/>
          <w:sz w:val="28"/>
          <w:szCs w:val="28"/>
        </w:rPr>
        <w:t>:</w:t>
      </w:r>
    </w:p>
    <w:p w:rsidR="00E6072C" w:rsidRDefault="00E6072C" w:rsidP="00E6072C">
      <w:pPr>
        <w:spacing w:after="0" w:line="240" w:lineRule="auto"/>
        <w:ind w:firstLine="708"/>
        <w:jc w:val="center"/>
        <w:rPr>
          <w:rFonts w:ascii="Arial" w:hAnsi="Arial" w:cs="Arial"/>
          <w:b/>
          <w:i/>
          <w:sz w:val="28"/>
          <w:szCs w:val="28"/>
        </w:rPr>
      </w:pPr>
    </w:p>
    <w:p w:rsidR="00E6072C" w:rsidRDefault="00E6072C" w:rsidP="00E6072C">
      <w:pPr>
        <w:pStyle w:val="a6"/>
        <w:numPr>
          <w:ilvl w:val="0"/>
          <w:numId w:val="1"/>
        </w:numPr>
        <w:tabs>
          <w:tab w:val="left" w:pos="284"/>
        </w:tabs>
        <w:spacing w:after="0" w:line="240" w:lineRule="auto"/>
        <w:ind w:left="0" w:firstLine="708"/>
        <w:jc w:val="both"/>
        <w:rPr>
          <w:rFonts w:ascii="Arial" w:hAnsi="Arial" w:cs="Arial"/>
          <w:b/>
          <w:i/>
          <w:sz w:val="28"/>
          <w:szCs w:val="28"/>
          <w:u w:val="single"/>
        </w:rPr>
      </w:pPr>
      <w:r>
        <w:rPr>
          <w:rFonts w:ascii="Arial" w:hAnsi="Arial" w:cs="Arial"/>
          <w:color w:val="000000"/>
          <w:sz w:val="28"/>
          <w:szCs w:val="28"/>
          <w:u w:val="single"/>
        </w:rPr>
        <w:t>ПРОЕКТ</w:t>
      </w:r>
      <w:r>
        <w:rPr>
          <w:rFonts w:ascii="Arial" w:hAnsi="Arial" w:cs="Arial"/>
          <w:b/>
          <w:color w:val="000000"/>
          <w:sz w:val="28"/>
          <w:szCs w:val="28"/>
          <w:u w:val="single"/>
        </w:rPr>
        <w:t xml:space="preserve"> «РЕКОНСТРУКЦИЯ И МОДЕРНИЗАЦИЯ АТЫРАУСКОГО НПЗ (СТРОИТЕЛЬСТВО КОМПЛЕКСА ГЛУБОКОЙ ПЕРЕРАБОТКИ НЕФТИ)»</w:t>
      </w:r>
    </w:p>
    <w:p w:rsidR="00E6072C" w:rsidRDefault="00E6072C" w:rsidP="00E6072C">
      <w:pPr>
        <w:spacing w:after="0" w:line="240" w:lineRule="auto"/>
        <w:ind w:firstLine="708"/>
        <w:jc w:val="both"/>
        <w:rPr>
          <w:rFonts w:ascii="Arial" w:eastAsia="Calibri" w:hAnsi="Arial" w:cs="Arial"/>
          <w:bCs/>
          <w:sz w:val="28"/>
          <w:szCs w:val="28"/>
        </w:rPr>
      </w:pPr>
      <w:r>
        <w:rPr>
          <w:rFonts w:ascii="Arial" w:eastAsia="Calibri" w:hAnsi="Arial" w:cs="Arial"/>
          <w:bCs/>
          <w:sz w:val="28"/>
          <w:szCs w:val="28"/>
        </w:rPr>
        <w:t xml:space="preserve">Цели проекта: </w:t>
      </w:r>
    </w:p>
    <w:p w:rsidR="00E6072C" w:rsidRDefault="00E6072C" w:rsidP="00E6072C">
      <w:pPr>
        <w:numPr>
          <w:ilvl w:val="2"/>
          <w:numId w:val="2"/>
        </w:numPr>
        <w:tabs>
          <w:tab w:val="num" w:pos="0"/>
          <w:tab w:val="left" w:pos="284"/>
        </w:tabs>
        <w:kinsoku w:val="0"/>
        <w:overflowPunct w:val="0"/>
        <w:spacing w:after="0" w:line="240" w:lineRule="auto"/>
        <w:ind w:left="0" w:firstLine="708"/>
        <w:contextualSpacing/>
        <w:jc w:val="both"/>
        <w:rPr>
          <w:rFonts w:ascii="Arial" w:hAnsi="Arial" w:cs="Arial"/>
          <w:kern w:val="24"/>
          <w:sz w:val="28"/>
          <w:szCs w:val="28"/>
        </w:rPr>
      </w:pPr>
      <w:r>
        <w:rPr>
          <w:rFonts w:ascii="Arial" w:hAnsi="Arial" w:cs="Arial"/>
          <w:kern w:val="24"/>
          <w:sz w:val="28"/>
          <w:szCs w:val="28"/>
        </w:rPr>
        <w:t>Обеспечение выпуска моторных топлив классов К4, К5, в соответствии с требованиями Технического регламента Таможенного союза.</w:t>
      </w:r>
    </w:p>
    <w:p w:rsidR="00E6072C" w:rsidRDefault="00E6072C" w:rsidP="00E6072C">
      <w:pPr>
        <w:numPr>
          <w:ilvl w:val="2"/>
          <w:numId w:val="2"/>
        </w:numPr>
        <w:tabs>
          <w:tab w:val="num" w:pos="0"/>
          <w:tab w:val="left" w:pos="284"/>
        </w:tabs>
        <w:kinsoku w:val="0"/>
        <w:overflowPunct w:val="0"/>
        <w:spacing w:after="0" w:line="240" w:lineRule="auto"/>
        <w:ind w:left="0" w:firstLine="708"/>
        <w:contextualSpacing/>
        <w:jc w:val="both"/>
        <w:rPr>
          <w:rFonts w:ascii="Arial" w:hAnsi="Arial" w:cs="Arial"/>
          <w:kern w:val="24"/>
          <w:sz w:val="28"/>
          <w:szCs w:val="28"/>
        </w:rPr>
      </w:pPr>
      <w:r>
        <w:rPr>
          <w:rFonts w:ascii="Arial" w:hAnsi="Arial" w:cs="Arial"/>
          <w:kern w:val="24"/>
          <w:sz w:val="28"/>
          <w:szCs w:val="28"/>
        </w:rPr>
        <w:t>Увеличение мощности завода с 5,0 до 5,5 млн. тонн в год.</w:t>
      </w:r>
    </w:p>
    <w:p w:rsidR="00E6072C" w:rsidRDefault="00E6072C" w:rsidP="00E6072C">
      <w:pPr>
        <w:numPr>
          <w:ilvl w:val="2"/>
          <w:numId w:val="2"/>
        </w:numPr>
        <w:tabs>
          <w:tab w:val="num" w:pos="0"/>
          <w:tab w:val="left" w:pos="284"/>
        </w:tabs>
        <w:kinsoku w:val="0"/>
        <w:overflowPunct w:val="0"/>
        <w:spacing w:after="120" w:line="240" w:lineRule="auto"/>
        <w:ind w:left="0" w:firstLine="708"/>
        <w:jc w:val="both"/>
        <w:rPr>
          <w:rFonts w:ascii="Arial" w:hAnsi="Arial" w:cs="Arial"/>
          <w:kern w:val="24"/>
          <w:sz w:val="28"/>
          <w:szCs w:val="28"/>
        </w:rPr>
      </w:pPr>
      <w:r>
        <w:rPr>
          <w:rFonts w:ascii="Arial" w:hAnsi="Arial" w:cs="Arial"/>
          <w:kern w:val="24"/>
          <w:sz w:val="28"/>
          <w:szCs w:val="28"/>
        </w:rPr>
        <w:t>Увеличение глубины переработки нефти.</w:t>
      </w:r>
    </w:p>
    <w:p w:rsidR="00E6072C" w:rsidRDefault="00E6072C" w:rsidP="00E6072C">
      <w:pPr>
        <w:numPr>
          <w:ilvl w:val="2"/>
          <w:numId w:val="2"/>
        </w:numPr>
        <w:tabs>
          <w:tab w:val="num" w:pos="0"/>
          <w:tab w:val="left" w:pos="284"/>
        </w:tabs>
        <w:kinsoku w:val="0"/>
        <w:overflowPunct w:val="0"/>
        <w:spacing w:after="120" w:line="240" w:lineRule="auto"/>
        <w:ind w:left="0" w:firstLine="708"/>
        <w:jc w:val="both"/>
        <w:rPr>
          <w:rFonts w:ascii="Arial" w:hAnsi="Arial" w:cs="Arial"/>
          <w:kern w:val="24"/>
          <w:sz w:val="28"/>
          <w:szCs w:val="28"/>
        </w:rPr>
      </w:pPr>
      <w:r>
        <w:rPr>
          <w:rFonts w:ascii="Arial" w:eastAsia="Calibri" w:hAnsi="Arial" w:cs="Arial"/>
          <w:bCs/>
          <w:sz w:val="28"/>
          <w:szCs w:val="28"/>
        </w:rPr>
        <w:t>Текущий статус: Завершены работы по строительству  комплекса глубокой переработки нефти.</w:t>
      </w:r>
    </w:p>
    <w:p w:rsidR="00E6072C" w:rsidRDefault="00E6072C" w:rsidP="00E6072C">
      <w:pPr>
        <w:tabs>
          <w:tab w:val="left" w:pos="284"/>
        </w:tabs>
        <w:kinsoku w:val="0"/>
        <w:overflowPunct w:val="0"/>
        <w:spacing w:after="120" w:line="240" w:lineRule="auto"/>
        <w:ind w:left="708"/>
        <w:jc w:val="both"/>
        <w:rPr>
          <w:rFonts w:ascii="Arial" w:hAnsi="Arial" w:cs="Arial"/>
          <w:kern w:val="24"/>
          <w:sz w:val="28"/>
          <w:szCs w:val="28"/>
        </w:rPr>
      </w:pPr>
      <w:r>
        <w:rPr>
          <w:rFonts w:ascii="Arial" w:eastAsia="Calibri" w:hAnsi="Arial" w:cs="Arial"/>
          <w:bCs/>
          <w:sz w:val="28"/>
          <w:szCs w:val="28"/>
        </w:rPr>
        <w:t>Ведутся пусковые работы на 12 технологических установках и объектах ОЗХ.</w:t>
      </w:r>
    </w:p>
    <w:p w:rsidR="00E6072C" w:rsidRDefault="00E6072C" w:rsidP="00E6072C">
      <w:pPr>
        <w:spacing w:after="0" w:line="240" w:lineRule="auto"/>
        <w:ind w:firstLine="708"/>
        <w:jc w:val="both"/>
        <w:rPr>
          <w:rFonts w:ascii="Arial" w:eastAsia="Calibri" w:hAnsi="Arial" w:cs="Arial"/>
          <w:bCs/>
          <w:sz w:val="28"/>
          <w:szCs w:val="28"/>
        </w:rPr>
      </w:pPr>
      <w:r>
        <w:rPr>
          <w:rFonts w:ascii="Arial" w:eastAsia="Calibri" w:hAnsi="Arial" w:cs="Arial"/>
          <w:bCs/>
          <w:sz w:val="28"/>
          <w:szCs w:val="28"/>
        </w:rPr>
        <w:t>Сроки реализации: 2011 - 2017 гг.</w:t>
      </w:r>
    </w:p>
    <w:p w:rsidR="00E6072C" w:rsidRDefault="00E6072C" w:rsidP="00E6072C">
      <w:pPr>
        <w:spacing w:after="0" w:line="240" w:lineRule="auto"/>
        <w:ind w:firstLine="708"/>
        <w:jc w:val="both"/>
        <w:rPr>
          <w:rFonts w:ascii="Arial" w:eastAsia="Calibri" w:hAnsi="Arial" w:cs="Arial"/>
          <w:bCs/>
          <w:sz w:val="28"/>
          <w:szCs w:val="28"/>
        </w:rPr>
      </w:pPr>
      <w:r>
        <w:rPr>
          <w:rFonts w:ascii="Arial" w:eastAsia="Calibri" w:hAnsi="Arial" w:cs="Arial"/>
          <w:bCs/>
          <w:sz w:val="28"/>
          <w:szCs w:val="28"/>
        </w:rPr>
        <w:t>Генеральный подрядчик: консорциум «</w:t>
      </w:r>
      <w:r>
        <w:rPr>
          <w:rFonts w:ascii="Arial" w:eastAsia="Calibri" w:hAnsi="Arial" w:cs="Arial"/>
          <w:bCs/>
          <w:sz w:val="28"/>
          <w:szCs w:val="28"/>
          <w:lang w:val="en-US"/>
        </w:rPr>
        <w:t>Sinopec</w:t>
      </w:r>
      <w:r w:rsidRPr="00E6072C">
        <w:rPr>
          <w:rFonts w:ascii="Arial" w:eastAsia="Calibri" w:hAnsi="Arial" w:cs="Arial"/>
          <w:bCs/>
          <w:sz w:val="28"/>
          <w:szCs w:val="28"/>
        </w:rPr>
        <w:t xml:space="preserve"> </w:t>
      </w:r>
      <w:r>
        <w:rPr>
          <w:rFonts w:ascii="Arial" w:eastAsia="Calibri" w:hAnsi="Arial" w:cs="Arial"/>
          <w:bCs/>
          <w:sz w:val="28"/>
          <w:szCs w:val="28"/>
          <w:lang w:val="en-US"/>
        </w:rPr>
        <w:t>Engineering</w:t>
      </w:r>
      <w:r w:rsidRPr="00E6072C">
        <w:rPr>
          <w:rFonts w:ascii="Arial" w:eastAsia="Calibri" w:hAnsi="Arial" w:cs="Arial"/>
          <w:bCs/>
          <w:sz w:val="28"/>
          <w:szCs w:val="28"/>
        </w:rPr>
        <w:t xml:space="preserve"> </w:t>
      </w:r>
      <w:r>
        <w:rPr>
          <w:rFonts w:ascii="Arial" w:eastAsia="Calibri" w:hAnsi="Arial" w:cs="Arial"/>
          <w:bCs/>
          <w:sz w:val="28"/>
          <w:szCs w:val="28"/>
          <w:lang w:val="en-US"/>
        </w:rPr>
        <w:t>Group</w:t>
      </w:r>
      <w:r>
        <w:rPr>
          <w:rFonts w:ascii="Arial" w:eastAsia="Calibri" w:hAnsi="Arial" w:cs="Arial"/>
          <w:bCs/>
          <w:sz w:val="28"/>
          <w:szCs w:val="28"/>
        </w:rPr>
        <w:t>» (КНР) - «</w:t>
      </w:r>
      <w:r>
        <w:rPr>
          <w:rFonts w:ascii="Arial" w:eastAsia="Calibri" w:hAnsi="Arial" w:cs="Arial"/>
          <w:bCs/>
          <w:sz w:val="28"/>
          <w:szCs w:val="28"/>
          <w:lang w:val="en-US"/>
        </w:rPr>
        <w:t>Marubeni</w:t>
      </w:r>
      <w:r w:rsidRPr="00E6072C">
        <w:rPr>
          <w:rFonts w:ascii="Arial" w:eastAsia="Calibri" w:hAnsi="Arial" w:cs="Arial"/>
          <w:bCs/>
          <w:sz w:val="28"/>
          <w:szCs w:val="28"/>
        </w:rPr>
        <w:t xml:space="preserve"> </w:t>
      </w:r>
      <w:r>
        <w:rPr>
          <w:rFonts w:ascii="Arial" w:eastAsia="Calibri" w:hAnsi="Arial" w:cs="Arial"/>
          <w:bCs/>
          <w:sz w:val="28"/>
          <w:szCs w:val="28"/>
          <w:lang w:val="en-US"/>
        </w:rPr>
        <w:t>Corporation</w:t>
      </w:r>
      <w:r>
        <w:rPr>
          <w:rFonts w:ascii="Arial" w:eastAsia="Calibri" w:hAnsi="Arial" w:cs="Arial"/>
          <w:bCs/>
          <w:sz w:val="28"/>
          <w:szCs w:val="28"/>
        </w:rPr>
        <w:t>« (Япония) - АО НГСК «КазСтройСервис» (Казахстан).</w:t>
      </w:r>
    </w:p>
    <w:p w:rsidR="00E6072C" w:rsidRDefault="00E6072C" w:rsidP="00E6072C">
      <w:pPr>
        <w:spacing w:after="0" w:line="240" w:lineRule="auto"/>
        <w:ind w:firstLine="708"/>
        <w:jc w:val="both"/>
        <w:rPr>
          <w:rFonts w:ascii="Arial" w:eastAsia="Calibri" w:hAnsi="Arial" w:cs="Arial"/>
          <w:bCs/>
          <w:sz w:val="28"/>
          <w:szCs w:val="28"/>
        </w:rPr>
      </w:pPr>
    </w:p>
    <w:p w:rsidR="00E6072C" w:rsidRDefault="00E6072C" w:rsidP="00E6072C">
      <w:pPr>
        <w:pStyle w:val="a6"/>
        <w:numPr>
          <w:ilvl w:val="0"/>
          <w:numId w:val="2"/>
        </w:numPr>
        <w:tabs>
          <w:tab w:val="left" w:pos="0"/>
        </w:tabs>
        <w:spacing w:after="0" w:line="240" w:lineRule="auto"/>
        <w:ind w:left="0" w:firstLine="708"/>
        <w:jc w:val="both"/>
        <w:rPr>
          <w:rFonts w:ascii="Arial" w:hAnsi="Arial" w:cs="Arial"/>
          <w:b/>
          <w:i/>
          <w:sz w:val="28"/>
          <w:szCs w:val="28"/>
        </w:rPr>
      </w:pPr>
      <w:r>
        <w:rPr>
          <w:rFonts w:ascii="Arial" w:hAnsi="Arial" w:cs="Arial"/>
          <w:color w:val="000000"/>
          <w:sz w:val="28"/>
          <w:szCs w:val="28"/>
          <w:u w:val="single"/>
        </w:rPr>
        <w:t>ПРОЕКТ:</w:t>
      </w:r>
      <w:r>
        <w:rPr>
          <w:rFonts w:ascii="Arial" w:hAnsi="Arial" w:cs="Arial"/>
          <w:b/>
          <w:sz w:val="28"/>
          <w:szCs w:val="28"/>
          <w:u w:val="single"/>
        </w:rPr>
        <w:t xml:space="preserve"> «</w:t>
      </w:r>
      <w:r>
        <w:rPr>
          <w:rFonts w:ascii="Arial" w:hAnsi="Arial" w:cs="Arial"/>
          <w:b/>
          <w:color w:val="000000"/>
          <w:sz w:val="28"/>
          <w:szCs w:val="28"/>
          <w:u w:val="single"/>
        </w:rPr>
        <w:t xml:space="preserve">СТРОИТЕЛЬСТВО ИНТЕГРИРОВАННОГО ГАЗОХИМИЧЕСКОГО КОМПЛЕКСА (ПЕРВАЯ ФАЗА) </w:t>
      </w:r>
      <w:r>
        <w:rPr>
          <w:rFonts w:ascii="Arial" w:hAnsi="Arial" w:cs="Arial"/>
          <w:i/>
          <w:sz w:val="28"/>
          <w:szCs w:val="28"/>
        </w:rPr>
        <w:t>по производству полипропилена</w:t>
      </w:r>
      <w:r>
        <w:rPr>
          <w:rFonts w:ascii="Arial" w:hAnsi="Arial" w:cs="Arial"/>
          <w:b/>
          <w:sz w:val="28"/>
          <w:szCs w:val="28"/>
        </w:rPr>
        <w:t xml:space="preserve">: </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Заявитель</w:t>
      </w:r>
      <w:r>
        <w:rPr>
          <w:rFonts w:ascii="Arial" w:hAnsi="Arial" w:cs="Arial"/>
          <w:sz w:val="28"/>
          <w:szCs w:val="28"/>
          <w:lang w:val="en-US"/>
        </w:rPr>
        <w:t xml:space="preserve"> </w:t>
      </w:r>
      <w:r>
        <w:rPr>
          <w:rFonts w:ascii="Arial" w:hAnsi="Arial" w:cs="Arial"/>
          <w:sz w:val="28"/>
          <w:szCs w:val="28"/>
        </w:rPr>
        <w:t>проекта</w:t>
      </w:r>
      <w:r>
        <w:rPr>
          <w:rFonts w:ascii="Arial" w:hAnsi="Arial" w:cs="Arial"/>
          <w:sz w:val="28"/>
          <w:szCs w:val="28"/>
          <w:lang w:val="en-US"/>
        </w:rPr>
        <w:t xml:space="preserve">: </w:t>
      </w:r>
      <w:r>
        <w:rPr>
          <w:rFonts w:ascii="Arial" w:hAnsi="Arial" w:cs="Arial"/>
          <w:sz w:val="28"/>
          <w:szCs w:val="28"/>
        </w:rPr>
        <w:t>ТОО</w:t>
      </w:r>
      <w:r>
        <w:rPr>
          <w:rFonts w:ascii="Arial" w:hAnsi="Arial" w:cs="Arial"/>
          <w:sz w:val="28"/>
          <w:szCs w:val="28"/>
          <w:lang w:val="en-US"/>
        </w:rPr>
        <w:t xml:space="preserve"> «Kazakhstan Petrochemical Industries Inc.» </w:t>
      </w:r>
      <w:r>
        <w:rPr>
          <w:rFonts w:ascii="Arial" w:hAnsi="Arial" w:cs="Arial"/>
          <w:sz w:val="28"/>
          <w:szCs w:val="28"/>
        </w:rPr>
        <w:t>(ТОО «KPI»). Участники ТОО «KPI» ТОО «Объединенная химическая компания» (дочерняя организация АО «Самрук-Казына»).</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r>
      <w:r>
        <w:rPr>
          <w:rFonts w:ascii="Arial" w:eastAsia="Calibri" w:hAnsi="Arial" w:cs="Arial"/>
          <w:bCs/>
          <w:sz w:val="28"/>
          <w:szCs w:val="28"/>
        </w:rPr>
        <w:t xml:space="preserve">Сроки реализации: </w:t>
      </w:r>
      <w:r>
        <w:rPr>
          <w:rFonts w:ascii="Arial" w:hAnsi="Arial" w:cs="Arial"/>
          <w:sz w:val="28"/>
          <w:szCs w:val="28"/>
        </w:rPr>
        <w:t xml:space="preserve">2017-2021 гг. </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Стоимость проекта: 2,6 млрд. долларов.</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Сырье: обеспечен сырьем (пропан) в объеме 550 тыс. тонн в год из ТШО.</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Структура финансирования: 21% – средства ТОО «ОХК» и 79% – заемные средства.</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Эффект от реализации проекта: 500 тыс. тонн/год полипропилена.</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Текущее состояние:</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 xml:space="preserve">Заемные средства привлечены от Государственного Банка развития Китая на сумму 2 млрд. долларов США (со сроком на 20 лет под 5,8% годовых). </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18 марта 2017 года на ПСД проекта получено положительное заключение от РГП «Госэкспертиза».</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lastRenderedPageBreak/>
        <w:tab/>
        <w:t>24 ноября 2017 года Государственный банк развития Китая направил в адрес генерального подрядчика (китайская компания - China National Chemical Engineering Company) аванс на сумму 409 млн. долл. США.</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ab/>
        <w:t>27 ноября 2017 года ТОО «Kazakhstan Petrochemical Industries Inc.» направил Уведомление о начале строительных работ (NTP) генеральному подрядчику.</w:t>
      </w:r>
    </w:p>
    <w:p w:rsidR="00E6072C" w:rsidRDefault="00E6072C" w:rsidP="00E6072C">
      <w:pPr>
        <w:tabs>
          <w:tab w:val="left" w:pos="709"/>
        </w:tabs>
        <w:spacing w:after="0" w:line="240" w:lineRule="auto"/>
        <w:ind w:firstLine="708"/>
        <w:jc w:val="both"/>
        <w:rPr>
          <w:rFonts w:ascii="Arial" w:hAnsi="Arial" w:cs="Arial"/>
          <w:sz w:val="28"/>
          <w:szCs w:val="28"/>
        </w:rPr>
      </w:pPr>
      <w:r>
        <w:rPr>
          <w:rFonts w:ascii="Arial" w:hAnsi="Arial" w:cs="Arial"/>
          <w:sz w:val="28"/>
          <w:szCs w:val="28"/>
        </w:rPr>
        <w:t>На сегодняшний день осуществлена мобилизация проектной группы генерального подрядчика, ведется детальный инжиниринг. Также начаты работы по определению перечня оборудования длительного срока изготовления для осуществления заказа. Начало строительных работ намечено на II квартал 2018 года.</w:t>
      </w:r>
    </w:p>
    <w:tbl>
      <w:tblPr>
        <w:tblStyle w:val="a7"/>
        <w:tblpPr w:leftFromText="180" w:rightFromText="180" w:vertAnchor="text" w:horzAnchor="margin" w:tblpX="216" w:tblpY="19"/>
        <w:tblW w:w="9480" w:type="dxa"/>
        <w:tblInd w:w="0" w:type="dxa"/>
        <w:tblLayout w:type="fixed"/>
        <w:tblLook w:val="04A0" w:firstRow="1" w:lastRow="0" w:firstColumn="1" w:lastColumn="0" w:noHBand="0" w:noVBand="1"/>
      </w:tblPr>
      <w:tblGrid>
        <w:gridCol w:w="1527"/>
        <w:gridCol w:w="710"/>
        <w:gridCol w:w="709"/>
        <w:gridCol w:w="709"/>
        <w:gridCol w:w="696"/>
        <w:gridCol w:w="722"/>
        <w:gridCol w:w="708"/>
        <w:gridCol w:w="709"/>
        <w:gridCol w:w="813"/>
        <w:gridCol w:w="813"/>
        <w:gridCol w:w="642"/>
        <w:gridCol w:w="722"/>
      </w:tblGrid>
      <w:tr w:rsidR="00E6072C" w:rsidTr="00E6072C">
        <w:tc>
          <w:tcPr>
            <w:tcW w:w="9477" w:type="dxa"/>
            <w:gridSpan w:val="12"/>
            <w:tcBorders>
              <w:top w:val="single" w:sz="4" w:space="0" w:color="auto"/>
              <w:left w:val="single" w:sz="4" w:space="0" w:color="auto"/>
              <w:bottom w:val="single" w:sz="4" w:space="0" w:color="auto"/>
              <w:right w:val="single" w:sz="4" w:space="0" w:color="auto"/>
            </w:tcBorders>
            <w:hideMark/>
          </w:tcPr>
          <w:p w:rsidR="00E6072C" w:rsidRDefault="00E6072C">
            <w:pPr>
              <w:pStyle w:val="a6"/>
              <w:spacing w:after="0" w:line="240" w:lineRule="auto"/>
              <w:ind w:left="0"/>
              <w:jc w:val="center"/>
              <w:rPr>
                <w:rFonts w:ascii="Arial" w:hAnsi="Arial" w:cs="Arial"/>
                <w:b/>
                <w:sz w:val="20"/>
                <w:szCs w:val="20"/>
                <w:lang w:val="kk-KZ"/>
              </w:rPr>
            </w:pPr>
            <w:r>
              <w:rPr>
                <w:rFonts w:ascii="Arial" w:hAnsi="Arial" w:cs="Arial"/>
                <w:b/>
                <w:sz w:val="20"/>
                <w:szCs w:val="20"/>
                <w:lang w:val="kk-KZ"/>
              </w:rPr>
              <w:t xml:space="preserve">Объем инвестиций </w:t>
            </w:r>
            <w:r>
              <w:rPr>
                <w:rFonts w:ascii="Arial" w:hAnsi="Arial" w:cs="Arial"/>
                <w:sz w:val="20"/>
                <w:szCs w:val="20"/>
                <w:lang w:val="kk-KZ"/>
              </w:rPr>
              <w:t>(</w:t>
            </w:r>
            <w:r>
              <w:rPr>
                <w:rFonts w:ascii="Arial" w:hAnsi="Arial" w:cs="Arial"/>
                <w:bCs/>
                <w:iCs/>
                <w:color w:val="000000" w:themeColor="text1"/>
                <w:sz w:val="20"/>
                <w:szCs w:val="20"/>
                <w:lang w:val="kk-KZ"/>
              </w:rPr>
              <w:t>млрд. тенге)</w:t>
            </w:r>
          </w:p>
        </w:tc>
      </w:tr>
      <w:tr w:rsidR="00E6072C" w:rsidTr="00E6072C">
        <w:tc>
          <w:tcPr>
            <w:tcW w:w="1526" w:type="dxa"/>
            <w:tcBorders>
              <w:top w:val="single" w:sz="4" w:space="0" w:color="auto"/>
              <w:left w:val="single" w:sz="4" w:space="0" w:color="auto"/>
              <w:bottom w:val="single" w:sz="4" w:space="0" w:color="auto"/>
              <w:right w:val="single" w:sz="4" w:space="0" w:color="auto"/>
            </w:tcBorders>
          </w:tcPr>
          <w:p w:rsidR="00E6072C" w:rsidRDefault="00E6072C">
            <w:pPr>
              <w:spacing w:after="0" w:line="240" w:lineRule="auto"/>
              <w:jc w:val="both"/>
              <w:rPr>
                <w:rFonts w:ascii="Arial" w:hAnsi="Arial" w:cs="Arial"/>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2008г</w:t>
            </w:r>
          </w:p>
        </w:tc>
        <w:tc>
          <w:tcPr>
            <w:tcW w:w="708"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2009г</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2010г</w:t>
            </w:r>
          </w:p>
        </w:tc>
        <w:tc>
          <w:tcPr>
            <w:tcW w:w="696"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2011г</w:t>
            </w:r>
          </w:p>
        </w:tc>
        <w:tc>
          <w:tcPr>
            <w:tcW w:w="722"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2012г</w:t>
            </w:r>
          </w:p>
        </w:tc>
        <w:tc>
          <w:tcPr>
            <w:tcW w:w="708"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2013г</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2014г</w:t>
            </w:r>
          </w:p>
        </w:tc>
        <w:tc>
          <w:tcPr>
            <w:tcW w:w="813"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2015г</w:t>
            </w:r>
          </w:p>
        </w:tc>
        <w:tc>
          <w:tcPr>
            <w:tcW w:w="813"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2016г</w:t>
            </w:r>
          </w:p>
        </w:tc>
        <w:tc>
          <w:tcPr>
            <w:tcW w:w="642"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2017г</w:t>
            </w:r>
          </w:p>
        </w:tc>
        <w:tc>
          <w:tcPr>
            <w:tcW w:w="722"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итого</w:t>
            </w:r>
          </w:p>
        </w:tc>
      </w:tr>
      <w:tr w:rsidR="00E6072C" w:rsidTr="00E6072C">
        <w:tc>
          <w:tcPr>
            <w:tcW w:w="1526" w:type="dxa"/>
            <w:tcBorders>
              <w:top w:val="single" w:sz="4" w:space="0" w:color="auto"/>
              <w:left w:val="single" w:sz="4" w:space="0" w:color="auto"/>
              <w:bottom w:val="single" w:sz="4" w:space="0" w:color="auto"/>
              <w:right w:val="single" w:sz="4" w:space="0" w:color="auto"/>
            </w:tcBorders>
            <w:hideMark/>
          </w:tcPr>
          <w:p w:rsidR="00E6072C" w:rsidRDefault="00E6072C">
            <w:pPr>
              <w:spacing w:after="0" w:line="240" w:lineRule="auto"/>
              <w:jc w:val="both"/>
              <w:rPr>
                <w:rFonts w:ascii="Arial" w:hAnsi="Arial" w:cs="Arial"/>
                <w:sz w:val="20"/>
                <w:szCs w:val="20"/>
                <w:lang w:val="kk-KZ"/>
              </w:rPr>
            </w:pPr>
            <w:r>
              <w:rPr>
                <w:rFonts w:ascii="Arial" w:hAnsi="Arial" w:cs="Arial"/>
                <w:bCs/>
                <w:iCs/>
                <w:color w:val="000000" w:themeColor="text1"/>
                <w:sz w:val="20"/>
                <w:szCs w:val="20"/>
                <w:lang w:val="kk-KZ"/>
              </w:rPr>
              <w:t>Проект по производству полипропилена</w:t>
            </w:r>
            <w:r>
              <w:rPr>
                <w:rFonts w:ascii="Arial" w:hAnsi="Arial" w:cs="Arial"/>
                <w:i/>
                <w:sz w:val="20"/>
                <w:szCs w:val="20"/>
                <w:lang w:val="kk-KZ"/>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bCs/>
                <w:iCs/>
                <w:color w:val="000000" w:themeColor="text1"/>
                <w:sz w:val="20"/>
                <w:szCs w:val="20"/>
                <w:lang w:val="kk-KZ"/>
              </w:rPr>
            </w:pPr>
            <w:r>
              <w:rPr>
                <w:rFonts w:ascii="Arial" w:hAnsi="Arial" w:cs="Arial"/>
                <w:bCs/>
                <w:iCs/>
                <w:color w:val="000000" w:themeColor="text1"/>
                <w:sz w:val="20"/>
                <w:szCs w:val="20"/>
                <w:lang w:val="kk-KZ"/>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bCs/>
                <w:iCs/>
                <w:color w:val="000000" w:themeColor="text1"/>
                <w:sz w:val="20"/>
                <w:szCs w:val="20"/>
                <w:lang w:val="kk-KZ"/>
              </w:rPr>
            </w:pPr>
            <w:r>
              <w:rPr>
                <w:rFonts w:ascii="Arial" w:hAnsi="Arial" w:cs="Arial"/>
                <w:bCs/>
                <w:iCs/>
                <w:color w:val="000000" w:themeColor="text1"/>
                <w:sz w:val="20"/>
                <w:szCs w:val="20"/>
                <w:lang w:val="kk-KZ"/>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bCs/>
                <w:iCs/>
                <w:color w:val="000000" w:themeColor="text1"/>
                <w:sz w:val="20"/>
                <w:szCs w:val="20"/>
                <w:lang w:val="kk-KZ"/>
              </w:rPr>
            </w:pPr>
            <w:r>
              <w:rPr>
                <w:rFonts w:ascii="Arial" w:hAnsi="Arial" w:cs="Arial"/>
                <w:bCs/>
                <w:iCs/>
                <w:color w:val="000000" w:themeColor="text1"/>
                <w:sz w:val="20"/>
                <w:szCs w:val="20"/>
                <w:lang w:val="kk-KZ"/>
              </w:rPr>
              <w:t>18,1</w:t>
            </w:r>
          </w:p>
        </w:tc>
        <w:tc>
          <w:tcPr>
            <w:tcW w:w="696"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bCs/>
                <w:iCs/>
                <w:color w:val="000000" w:themeColor="text1"/>
                <w:sz w:val="20"/>
                <w:szCs w:val="20"/>
                <w:lang w:val="kk-KZ"/>
              </w:rPr>
            </w:pPr>
            <w:r>
              <w:rPr>
                <w:rFonts w:ascii="Arial" w:hAnsi="Arial" w:cs="Arial"/>
                <w:bCs/>
                <w:iCs/>
                <w:color w:val="000000" w:themeColor="text1"/>
                <w:sz w:val="20"/>
                <w:szCs w:val="20"/>
                <w:lang w:val="kk-KZ"/>
              </w:rPr>
              <w:t>11,8</w:t>
            </w:r>
          </w:p>
        </w:tc>
        <w:tc>
          <w:tcPr>
            <w:tcW w:w="722"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bCs/>
                <w:iCs/>
                <w:color w:val="000000" w:themeColor="text1"/>
                <w:sz w:val="20"/>
                <w:szCs w:val="20"/>
                <w:lang w:val="kk-KZ"/>
              </w:rPr>
            </w:pPr>
            <w:r>
              <w:rPr>
                <w:rFonts w:ascii="Arial" w:hAnsi="Arial" w:cs="Arial"/>
                <w:bCs/>
                <w:iCs/>
                <w:color w:val="000000" w:themeColor="text1"/>
                <w:sz w:val="20"/>
                <w:szCs w:val="20"/>
                <w:lang w:val="kk-KZ"/>
              </w:rPr>
              <w:t>9,1</w:t>
            </w:r>
          </w:p>
        </w:tc>
        <w:tc>
          <w:tcPr>
            <w:tcW w:w="708"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bCs/>
                <w:iCs/>
                <w:color w:val="000000" w:themeColor="text1"/>
                <w:sz w:val="20"/>
                <w:szCs w:val="20"/>
                <w:lang w:val="kk-KZ"/>
              </w:rPr>
            </w:pPr>
            <w:r>
              <w:rPr>
                <w:rFonts w:ascii="Arial" w:hAnsi="Arial" w:cs="Arial"/>
                <w:bCs/>
                <w:iCs/>
                <w:color w:val="000000" w:themeColor="text1"/>
                <w:sz w:val="20"/>
                <w:szCs w:val="20"/>
                <w:lang w:val="kk-KZ"/>
              </w:rPr>
              <w:t>7,9</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bCs/>
                <w:iCs/>
                <w:color w:val="000000" w:themeColor="text1"/>
                <w:sz w:val="20"/>
                <w:szCs w:val="20"/>
                <w:lang w:val="kk-KZ"/>
              </w:rPr>
              <w:t>13,2</w:t>
            </w:r>
          </w:p>
        </w:tc>
        <w:tc>
          <w:tcPr>
            <w:tcW w:w="813"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8,2</w:t>
            </w:r>
          </w:p>
        </w:tc>
        <w:tc>
          <w:tcPr>
            <w:tcW w:w="813"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8</w:t>
            </w:r>
          </w:p>
        </w:tc>
        <w:tc>
          <w:tcPr>
            <w:tcW w:w="642"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135</w:t>
            </w:r>
          </w:p>
        </w:tc>
        <w:tc>
          <w:tcPr>
            <w:tcW w:w="722" w:type="dxa"/>
            <w:tcBorders>
              <w:top w:val="single" w:sz="4" w:space="0" w:color="auto"/>
              <w:left w:val="single" w:sz="4" w:space="0" w:color="auto"/>
              <w:bottom w:val="single" w:sz="4" w:space="0" w:color="auto"/>
              <w:right w:val="single" w:sz="4" w:space="0" w:color="auto"/>
            </w:tcBorders>
            <w:vAlign w:val="center"/>
            <w:hideMark/>
          </w:tcPr>
          <w:p w:rsidR="00E6072C" w:rsidRDefault="00E6072C">
            <w:pPr>
              <w:spacing w:after="0" w:line="240" w:lineRule="auto"/>
              <w:ind w:left="-29" w:right="-108" w:firstLine="28"/>
              <w:jc w:val="center"/>
              <w:rPr>
                <w:rFonts w:ascii="Arial" w:hAnsi="Arial" w:cs="Arial"/>
                <w:sz w:val="20"/>
                <w:szCs w:val="20"/>
                <w:lang w:val="kk-KZ"/>
              </w:rPr>
            </w:pPr>
            <w:r>
              <w:rPr>
                <w:rFonts w:ascii="Arial" w:hAnsi="Arial" w:cs="Arial"/>
                <w:sz w:val="20"/>
                <w:szCs w:val="20"/>
                <w:lang w:val="kk-KZ"/>
              </w:rPr>
              <w:t>214,1</w:t>
            </w:r>
          </w:p>
        </w:tc>
      </w:tr>
    </w:tbl>
    <w:p w:rsidR="00E6072C" w:rsidRDefault="00E6072C" w:rsidP="00E6072C">
      <w:pPr>
        <w:tabs>
          <w:tab w:val="left" w:pos="709"/>
        </w:tabs>
        <w:spacing w:after="0" w:line="240" w:lineRule="auto"/>
        <w:ind w:firstLine="708"/>
        <w:jc w:val="both"/>
        <w:rPr>
          <w:rFonts w:ascii="Arial" w:hAnsi="Arial" w:cs="Arial"/>
          <w:i/>
          <w:sz w:val="28"/>
          <w:szCs w:val="28"/>
        </w:rPr>
      </w:pPr>
      <w:r>
        <w:rPr>
          <w:rFonts w:ascii="Arial" w:hAnsi="Arial" w:cs="Arial"/>
          <w:i/>
          <w:sz w:val="28"/>
          <w:szCs w:val="28"/>
        </w:rPr>
        <w:tab/>
      </w:r>
    </w:p>
    <w:p w:rsidR="00E6072C" w:rsidRDefault="00E6072C" w:rsidP="00E6072C">
      <w:pPr>
        <w:tabs>
          <w:tab w:val="left" w:pos="709"/>
          <w:tab w:val="left" w:pos="1134"/>
          <w:tab w:val="left" w:pos="3119"/>
          <w:tab w:val="left" w:pos="3261"/>
        </w:tabs>
        <w:spacing w:after="0" w:line="240" w:lineRule="auto"/>
        <w:ind w:firstLine="708"/>
        <w:jc w:val="both"/>
        <w:rPr>
          <w:rFonts w:ascii="Arial" w:hAnsi="Arial" w:cs="Arial"/>
          <w:bCs/>
          <w:i/>
          <w:iCs/>
          <w:sz w:val="28"/>
          <w:szCs w:val="28"/>
        </w:rPr>
      </w:pPr>
      <w:r>
        <w:rPr>
          <w:rFonts w:ascii="Arial" w:hAnsi="Arial" w:cs="Arial"/>
          <w:b/>
          <w:sz w:val="28"/>
          <w:szCs w:val="28"/>
          <w:u w:val="single"/>
        </w:rPr>
        <w:t xml:space="preserve">3. </w:t>
      </w:r>
      <w:r>
        <w:rPr>
          <w:rFonts w:ascii="Arial" w:hAnsi="Arial" w:cs="Arial"/>
          <w:color w:val="000000"/>
          <w:sz w:val="28"/>
          <w:szCs w:val="28"/>
          <w:u w:val="single"/>
        </w:rPr>
        <w:t>ПРОЕКТ:</w:t>
      </w:r>
      <w:r>
        <w:rPr>
          <w:rFonts w:ascii="Arial" w:hAnsi="Arial" w:cs="Arial"/>
          <w:b/>
          <w:color w:val="000000"/>
          <w:sz w:val="28"/>
          <w:szCs w:val="28"/>
          <w:u w:val="single"/>
        </w:rPr>
        <w:t xml:space="preserve"> СТРОИТЕЛЬСТВО ИНТЕГРИРОВАННОГО ГАЗОХИМИЧЕСКОГО КОМПЛЕКСА (ВТОРАЯ ФАЗА)</w:t>
      </w:r>
      <w:r>
        <w:rPr>
          <w:rFonts w:ascii="Arial" w:hAnsi="Arial" w:cs="Arial"/>
          <w:color w:val="000000"/>
          <w:sz w:val="28"/>
          <w:szCs w:val="28"/>
        </w:rPr>
        <w:t xml:space="preserve"> </w:t>
      </w:r>
      <w:r>
        <w:rPr>
          <w:rFonts w:ascii="Arial" w:hAnsi="Arial" w:cs="Arial"/>
          <w:bCs/>
          <w:i/>
          <w:iCs/>
          <w:sz w:val="28"/>
          <w:szCs w:val="28"/>
          <w:lang w:val="x-none"/>
        </w:rPr>
        <w:t>по производству полиэтилена</w:t>
      </w:r>
      <w:r>
        <w:rPr>
          <w:rFonts w:ascii="Arial" w:hAnsi="Arial" w:cs="Arial"/>
          <w:bCs/>
          <w:i/>
          <w:iCs/>
          <w:sz w:val="28"/>
          <w:szCs w:val="28"/>
        </w:rPr>
        <w:t>:</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
          <w:iCs/>
          <w:sz w:val="28"/>
          <w:szCs w:val="28"/>
        </w:rPr>
        <w:tab/>
      </w:r>
      <w:r>
        <w:rPr>
          <w:rFonts w:ascii="Arial" w:hAnsi="Arial" w:cs="Arial"/>
          <w:bCs/>
          <w:iCs/>
          <w:sz w:val="28"/>
          <w:szCs w:val="28"/>
          <w:lang w:val="x-none"/>
        </w:rPr>
        <w:t>Заявитель проекта: ТОО «Объединенная химическая компания» (дочерняя организация АО «Самрук-Казына»).</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eastAsia="Calibri" w:hAnsi="Arial" w:cs="Arial"/>
          <w:bCs/>
          <w:sz w:val="28"/>
          <w:szCs w:val="28"/>
        </w:rPr>
        <w:t xml:space="preserve">Сроки реализации: </w:t>
      </w:r>
      <w:r>
        <w:rPr>
          <w:rFonts w:ascii="Arial" w:hAnsi="Arial" w:cs="Arial"/>
          <w:bCs/>
          <w:iCs/>
          <w:sz w:val="28"/>
          <w:szCs w:val="28"/>
          <w:lang w:val="x-none"/>
        </w:rPr>
        <w:t>2018-2024 гг.</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 xml:space="preserve">Стоимость проекта: 6,5 млрд. долларов. </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Предварительные доли участия в проекте:</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Borealis – 50%; Объединенная химическая компания – 50%;</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Предварительная структура финансирования: 30% – доля ТОО «ОХК» ($0,969 млрд.) и доля Borealis ($0,969 млрд.), 70% – заемные средства ($4,6 млрд.).</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Сырье: обеспечен сырьем (сухой газ, бутан) в объеме 1 700 тыс. тонн в год из ТШО.</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Эффект от реализации проекта: 1250 тыс. тонн полиэтилена в год</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Текущее состояние:</w:t>
      </w:r>
      <w:r>
        <w:rPr>
          <w:rFonts w:ascii="Arial" w:hAnsi="Arial" w:cs="Arial"/>
          <w:bCs/>
          <w:iCs/>
          <w:sz w:val="28"/>
          <w:szCs w:val="28"/>
          <w:lang w:val="kk-KZ"/>
        </w:rPr>
        <w:t xml:space="preserve"> </w:t>
      </w:r>
      <w:r>
        <w:rPr>
          <w:rFonts w:ascii="Arial" w:hAnsi="Arial" w:cs="Arial"/>
          <w:bCs/>
          <w:iCs/>
          <w:sz w:val="28"/>
          <w:szCs w:val="28"/>
          <w:lang w:val="x-none"/>
        </w:rPr>
        <w:t>В январе 2017 года Глава государства посетил Объединенные Арабские Эмираты. Достигнута договоренность изучить возможность совместной реализации газохимического проекта в Казахстане.</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В марте 2017 года состоялся визит Первого заместителя Премьер-Министра Мамина А.У., Министра энергетики Бозумбаева К.А. в ОАЭ для обсуждения хода реализации поручений Глав государств по реализации газохимического проекта.</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В мае 2017 года в Вене проведены переговоры руководства Министерства энергетики с высшим руководством Borealis, на которых презентован проект полиэтилен.</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lastRenderedPageBreak/>
        <w:tab/>
      </w:r>
      <w:r>
        <w:rPr>
          <w:rFonts w:ascii="Arial" w:hAnsi="Arial" w:cs="Arial"/>
          <w:bCs/>
          <w:iCs/>
          <w:sz w:val="28"/>
          <w:szCs w:val="28"/>
          <w:lang w:val="x-none"/>
        </w:rPr>
        <w:t>В результате, заключен Меморандум между ТОО «Объединенная химическая компания», Mubadala Investment Company (ОАЭ) и компанией Borealis (Австрия), который предусматривает разработку пред-ТЭО проекта.</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В июне-сентябре 2017 года Министерством энергетики и АО «Самрук-Казына» проведены ряд переговоров с компанией Borealis, на которых обсуждены технические и экономические детали проекта.</w:t>
      </w:r>
    </w:p>
    <w:p w:rsidR="00E6072C" w:rsidRDefault="00E6072C" w:rsidP="00E6072C">
      <w:pPr>
        <w:tabs>
          <w:tab w:val="left" w:pos="709"/>
        </w:tabs>
        <w:spacing w:after="0" w:line="240" w:lineRule="auto"/>
        <w:ind w:firstLine="708"/>
        <w:jc w:val="both"/>
        <w:rPr>
          <w:rFonts w:ascii="Arial" w:hAnsi="Arial" w:cs="Arial"/>
          <w:bCs/>
          <w:iCs/>
          <w:sz w:val="28"/>
          <w:szCs w:val="28"/>
          <w:lang w:val="x-none"/>
        </w:rPr>
      </w:pPr>
      <w:r>
        <w:rPr>
          <w:rFonts w:ascii="Arial" w:hAnsi="Arial" w:cs="Arial"/>
          <w:bCs/>
          <w:iCs/>
          <w:sz w:val="28"/>
          <w:szCs w:val="28"/>
        </w:rPr>
        <w:tab/>
      </w:r>
      <w:r>
        <w:rPr>
          <w:rFonts w:ascii="Arial" w:hAnsi="Arial" w:cs="Arial"/>
          <w:bCs/>
          <w:iCs/>
          <w:sz w:val="28"/>
          <w:szCs w:val="28"/>
          <w:lang w:val="x-none"/>
        </w:rPr>
        <w:t>В результате, 19 сентября т.г. Совет директоров компании Borealis принял решение по участию в проекте с определенными условиями:</w:t>
      </w:r>
    </w:p>
    <w:p w:rsidR="00E6072C" w:rsidRDefault="00E6072C" w:rsidP="00E6072C">
      <w:pPr>
        <w:pStyle w:val="a6"/>
        <w:numPr>
          <w:ilvl w:val="0"/>
          <w:numId w:val="3"/>
        </w:numPr>
        <w:tabs>
          <w:tab w:val="left" w:pos="709"/>
        </w:tabs>
        <w:spacing w:after="0" w:line="240" w:lineRule="auto"/>
        <w:ind w:left="0" w:firstLine="709"/>
        <w:jc w:val="both"/>
        <w:rPr>
          <w:rFonts w:ascii="Arial" w:hAnsi="Arial" w:cs="Arial"/>
          <w:bCs/>
          <w:iCs/>
          <w:sz w:val="28"/>
          <w:szCs w:val="28"/>
          <w:lang w:val="x-none"/>
        </w:rPr>
      </w:pPr>
      <w:r>
        <w:rPr>
          <w:rFonts w:ascii="Arial" w:hAnsi="Arial" w:cs="Arial"/>
          <w:bCs/>
          <w:iCs/>
          <w:sz w:val="28"/>
          <w:szCs w:val="28"/>
          <w:lang w:val="x-none"/>
        </w:rPr>
        <w:t>обеспечение готовой инфраструктурой;</w:t>
      </w:r>
    </w:p>
    <w:p w:rsidR="00E6072C" w:rsidRDefault="00E6072C" w:rsidP="00E6072C">
      <w:pPr>
        <w:pStyle w:val="a6"/>
        <w:numPr>
          <w:ilvl w:val="0"/>
          <w:numId w:val="3"/>
        </w:numPr>
        <w:tabs>
          <w:tab w:val="left" w:pos="709"/>
        </w:tabs>
        <w:spacing w:after="0" w:line="240" w:lineRule="auto"/>
        <w:ind w:left="0" w:firstLine="708"/>
        <w:jc w:val="both"/>
        <w:rPr>
          <w:rFonts w:ascii="Arial" w:hAnsi="Arial" w:cs="Arial"/>
          <w:bCs/>
          <w:iCs/>
          <w:sz w:val="28"/>
          <w:szCs w:val="28"/>
          <w:lang w:val="x-none"/>
        </w:rPr>
      </w:pPr>
      <w:r>
        <w:rPr>
          <w:rFonts w:ascii="Arial" w:hAnsi="Arial" w:cs="Arial"/>
          <w:bCs/>
          <w:iCs/>
          <w:sz w:val="28"/>
          <w:szCs w:val="28"/>
          <w:lang w:val="x-none"/>
        </w:rPr>
        <w:t>предоставление стабильности законодательства;</w:t>
      </w:r>
    </w:p>
    <w:p w:rsidR="00E6072C" w:rsidRDefault="00E6072C" w:rsidP="00E6072C">
      <w:pPr>
        <w:pStyle w:val="a6"/>
        <w:numPr>
          <w:ilvl w:val="0"/>
          <w:numId w:val="3"/>
        </w:numPr>
        <w:tabs>
          <w:tab w:val="left" w:pos="709"/>
        </w:tabs>
        <w:spacing w:after="0" w:line="240" w:lineRule="auto"/>
        <w:ind w:left="0" w:firstLine="708"/>
        <w:jc w:val="both"/>
        <w:rPr>
          <w:rFonts w:ascii="Arial" w:hAnsi="Arial" w:cs="Arial"/>
          <w:bCs/>
          <w:iCs/>
          <w:sz w:val="28"/>
          <w:szCs w:val="28"/>
          <w:lang w:val="x-none"/>
        </w:rPr>
      </w:pPr>
      <w:r>
        <w:rPr>
          <w:rFonts w:ascii="Arial" w:hAnsi="Arial" w:cs="Arial"/>
          <w:bCs/>
          <w:iCs/>
          <w:sz w:val="28"/>
          <w:szCs w:val="28"/>
          <w:lang w:val="x-none"/>
        </w:rPr>
        <w:t>финансирование доли ТОО «ОХК» в проекте;</w:t>
      </w:r>
    </w:p>
    <w:p w:rsidR="00E6072C" w:rsidRDefault="00E6072C" w:rsidP="00E6072C">
      <w:pPr>
        <w:pStyle w:val="a6"/>
        <w:numPr>
          <w:ilvl w:val="0"/>
          <w:numId w:val="3"/>
        </w:numPr>
        <w:tabs>
          <w:tab w:val="left" w:pos="709"/>
        </w:tabs>
        <w:spacing w:after="0" w:line="240" w:lineRule="auto"/>
        <w:ind w:left="0" w:firstLine="708"/>
        <w:jc w:val="both"/>
        <w:rPr>
          <w:rFonts w:ascii="Arial" w:hAnsi="Arial" w:cs="Arial"/>
          <w:bCs/>
          <w:iCs/>
          <w:sz w:val="28"/>
          <w:szCs w:val="28"/>
          <w:lang w:val="x-none"/>
        </w:rPr>
      </w:pPr>
      <w:r>
        <w:rPr>
          <w:rFonts w:ascii="Arial" w:hAnsi="Arial" w:cs="Arial"/>
          <w:bCs/>
          <w:iCs/>
          <w:sz w:val="28"/>
          <w:szCs w:val="28"/>
          <w:lang w:val="x-none"/>
        </w:rPr>
        <w:t>обеспечение гарантированным сырьем по фиксированной стоимости.</w:t>
      </w:r>
    </w:p>
    <w:p w:rsidR="00E6072C" w:rsidRDefault="00E6072C" w:rsidP="00E6072C">
      <w:pPr>
        <w:tabs>
          <w:tab w:val="left" w:pos="709"/>
        </w:tabs>
        <w:spacing w:after="0" w:line="240" w:lineRule="auto"/>
        <w:ind w:firstLine="708"/>
        <w:jc w:val="both"/>
        <w:rPr>
          <w:rFonts w:ascii="Arial" w:hAnsi="Arial" w:cs="Arial"/>
          <w:bCs/>
          <w:iCs/>
          <w:sz w:val="28"/>
          <w:szCs w:val="28"/>
        </w:rPr>
      </w:pPr>
      <w:r>
        <w:rPr>
          <w:rFonts w:ascii="Arial" w:hAnsi="Arial" w:cs="Arial"/>
          <w:bCs/>
          <w:iCs/>
          <w:sz w:val="28"/>
          <w:szCs w:val="28"/>
        </w:rPr>
        <w:tab/>
      </w:r>
      <w:r>
        <w:rPr>
          <w:rFonts w:ascii="Arial" w:hAnsi="Arial" w:cs="Arial"/>
          <w:bCs/>
          <w:iCs/>
          <w:sz w:val="28"/>
          <w:szCs w:val="28"/>
          <w:lang w:val="x-none"/>
        </w:rPr>
        <w:t xml:space="preserve">Вышеуказанные условия Borealis отражены в Меморандуме об основных условиях сотрудничества между Правительством РК и компанией Borealis (Австрия) по проекту производства полиэтилена, который </w:t>
      </w:r>
      <w:r>
        <w:rPr>
          <w:rFonts w:ascii="Arial" w:hAnsi="Arial" w:cs="Arial"/>
          <w:bCs/>
          <w:iCs/>
          <w:sz w:val="28"/>
          <w:szCs w:val="28"/>
        </w:rPr>
        <w:t xml:space="preserve">был </w:t>
      </w:r>
      <w:r>
        <w:rPr>
          <w:rFonts w:ascii="Arial" w:hAnsi="Arial" w:cs="Arial"/>
          <w:bCs/>
          <w:iCs/>
          <w:sz w:val="28"/>
          <w:szCs w:val="28"/>
          <w:lang w:val="x-none"/>
        </w:rPr>
        <w:t>подписа</w:t>
      </w:r>
      <w:r>
        <w:rPr>
          <w:rFonts w:ascii="Arial" w:hAnsi="Arial" w:cs="Arial"/>
          <w:bCs/>
          <w:iCs/>
          <w:sz w:val="28"/>
          <w:szCs w:val="28"/>
        </w:rPr>
        <w:t>н</w:t>
      </w:r>
      <w:r>
        <w:rPr>
          <w:rFonts w:ascii="Arial" w:hAnsi="Arial" w:cs="Arial"/>
          <w:bCs/>
          <w:iCs/>
          <w:sz w:val="28"/>
          <w:szCs w:val="28"/>
          <w:lang w:val="x-none"/>
        </w:rPr>
        <w:t xml:space="preserve"> </w:t>
      </w:r>
      <w:r>
        <w:rPr>
          <w:rFonts w:ascii="Arial" w:hAnsi="Arial" w:cs="Arial"/>
          <w:bCs/>
          <w:iCs/>
          <w:sz w:val="28"/>
          <w:szCs w:val="28"/>
        </w:rPr>
        <w:t>24</w:t>
      </w:r>
      <w:r>
        <w:rPr>
          <w:rFonts w:ascii="Arial" w:hAnsi="Arial" w:cs="Arial"/>
          <w:bCs/>
          <w:iCs/>
          <w:sz w:val="28"/>
          <w:szCs w:val="28"/>
          <w:lang w:val="x-none"/>
        </w:rPr>
        <w:t xml:space="preserve"> марта т.г. </w:t>
      </w:r>
      <w:r>
        <w:rPr>
          <w:rFonts w:ascii="Arial" w:hAnsi="Arial" w:cs="Arial"/>
          <w:bCs/>
          <w:iCs/>
          <w:sz w:val="28"/>
          <w:szCs w:val="28"/>
        </w:rPr>
        <w:t>(в рамках визита Главы Государства в ОАЭ).</w:t>
      </w:r>
    </w:p>
    <w:p w:rsidR="00E6072C" w:rsidRDefault="00E6072C" w:rsidP="00E6072C">
      <w:pPr>
        <w:tabs>
          <w:tab w:val="left" w:pos="709"/>
        </w:tabs>
        <w:spacing w:after="0" w:line="240" w:lineRule="auto"/>
        <w:ind w:firstLine="708"/>
        <w:jc w:val="both"/>
        <w:rPr>
          <w:rFonts w:ascii="Arial" w:hAnsi="Arial" w:cs="Arial"/>
          <w:bCs/>
          <w:iCs/>
          <w:sz w:val="28"/>
          <w:szCs w:val="28"/>
        </w:rPr>
      </w:pPr>
      <w:r>
        <w:rPr>
          <w:rFonts w:ascii="Arial" w:hAnsi="Arial" w:cs="Arial"/>
          <w:bCs/>
          <w:iCs/>
          <w:sz w:val="28"/>
          <w:szCs w:val="28"/>
        </w:rPr>
        <w:t>Подписанный Меморандум закрепляет пакет мер государственной поддержки и обуславливает переход на стадию проектирования (разработка технико-экономического обоснования). Планируемый срок завершения разработки ТЭО – 2018 год.</w:t>
      </w:r>
    </w:p>
    <w:p w:rsidR="00E6072C" w:rsidRDefault="00E6072C" w:rsidP="00E6072C">
      <w:pPr>
        <w:tabs>
          <w:tab w:val="left" w:pos="709"/>
        </w:tabs>
        <w:spacing w:after="0" w:line="240" w:lineRule="auto"/>
        <w:ind w:firstLine="709"/>
        <w:jc w:val="both"/>
        <w:rPr>
          <w:rFonts w:ascii="Arial" w:hAnsi="Arial" w:cs="Arial"/>
          <w:bCs/>
          <w:iCs/>
          <w:sz w:val="28"/>
          <w:szCs w:val="28"/>
        </w:rPr>
      </w:pPr>
    </w:p>
    <w:p w:rsidR="00E6072C" w:rsidRDefault="00E6072C" w:rsidP="00E6072C">
      <w:pPr>
        <w:tabs>
          <w:tab w:val="left" w:pos="709"/>
        </w:tabs>
        <w:spacing w:after="0" w:line="240" w:lineRule="auto"/>
        <w:ind w:firstLine="709"/>
        <w:jc w:val="both"/>
        <w:rPr>
          <w:rFonts w:ascii="Arial" w:hAnsi="Arial" w:cs="Arial"/>
          <w:bCs/>
          <w:iCs/>
          <w:sz w:val="28"/>
          <w:szCs w:val="28"/>
        </w:rPr>
      </w:pPr>
    </w:p>
    <w:p w:rsidR="00E6072C" w:rsidRDefault="00E6072C" w:rsidP="00E6072C">
      <w:pPr>
        <w:tabs>
          <w:tab w:val="left" w:pos="709"/>
        </w:tabs>
        <w:spacing w:after="0" w:line="240" w:lineRule="auto"/>
        <w:ind w:firstLine="709"/>
        <w:jc w:val="both"/>
        <w:rPr>
          <w:rFonts w:ascii="Arial" w:hAnsi="Arial" w:cs="Arial"/>
          <w:bCs/>
          <w:i/>
          <w:iCs/>
          <w:sz w:val="28"/>
          <w:szCs w:val="28"/>
        </w:rPr>
      </w:pPr>
      <w:r>
        <w:rPr>
          <w:rFonts w:ascii="Arial" w:hAnsi="Arial" w:cs="Arial"/>
          <w:b/>
          <w:sz w:val="28"/>
          <w:szCs w:val="28"/>
          <w:u w:val="single"/>
        </w:rPr>
        <w:t xml:space="preserve">4. </w:t>
      </w:r>
      <w:r>
        <w:rPr>
          <w:rFonts w:ascii="Arial" w:hAnsi="Arial" w:cs="Arial"/>
          <w:color w:val="000000"/>
          <w:sz w:val="28"/>
          <w:szCs w:val="28"/>
          <w:u w:val="single"/>
        </w:rPr>
        <w:t>ПРОЕКТ:</w:t>
      </w:r>
      <w:r>
        <w:rPr>
          <w:rFonts w:ascii="Arial" w:hAnsi="Arial" w:cs="Arial"/>
          <w:b/>
          <w:color w:val="000000"/>
          <w:sz w:val="28"/>
          <w:szCs w:val="28"/>
          <w:u w:val="single"/>
        </w:rPr>
        <w:t xml:space="preserve"> ПРОИЗВОДСТВО МОТОРНОГО ТОПЛИВА ЭКОЛОГИЧЕСКОГО КЛАССА К5 </w:t>
      </w:r>
      <w:r>
        <w:rPr>
          <w:rFonts w:ascii="Arial" w:hAnsi="Arial" w:cs="Arial"/>
          <w:i/>
          <w:color w:val="000000"/>
          <w:sz w:val="28"/>
          <w:szCs w:val="28"/>
        </w:rPr>
        <w:t>АО "КОНДЕНСАТ".</w:t>
      </w:r>
    </w:p>
    <w:p w:rsidR="00E6072C" w:rsidRDefault="00E6072C" w:rsidP="00E6072C">
      <w:pPr>
        <w:tabs>
          <w:tab w:val="left" w:pos="709"/>
        </w:tabs>
        <w:spacing w:after="0" w:line="240" w:lineRule="auto"/>
        <w:ind w:firstLine="709"/>
        <w:jc w:val="both"/>
        <w:rPr>
          <w:rFonts w:ascii="Arial" w:hAnsi="Arial" w:cs="Arial"/>
          <w:bCs/>
          <w:iCs/>
          <w:sz w:val="28"/>
          <w:szCs w:val="28"/>
          <w:lang w:val="x-none"/>
        </w:rPr>
      </w:pPr>
      <w:r>
        <w:rPr>
          <w:rFonts w:ascii="Arial" w:hAnsi="Arial" w:cs="Arial"/>
          <w:bCs/>
          <w:iCs/>
          <w:sz w:val="28"/>
          <w:szCs w:val="28"/>
          <w:lang w:val="x-none"/>
        </w:rPr>
        <w:t xml:space="preserve">В рамках проекта «Производство моторных топлив экокласса К5», включенного в Республиканскую Карту индустриализации предприятием выполнен первый пусковой комплекс, а именно: </w:t>
      </w:r>
    </w:p>
    <w:p w:rsidR="00E6072C" w:rsidRDefault="00E6072C" w:rsidP="00E6072C">
      <w:pPr>
        <w:tabs>
          <w:tab w:val="left" w:pos="709"/>
        </w:tabs>
        <w:spacing w:after="0" w:line="240" w:lineRule="auto"/>
        <w:ind w:firstLine="709"/>
        <w:jc w:val="both"/>
        <w:rPr>
          <w:rFonts w:ascii="Arial" w:eastAsia="Calibri" w:hAnsi="Arial" w:cs="Arial"/>
          <w:bCs/>
          <w:sz w:val="28"/>
          <w:szCs w:val="28"/>
          <w:lang w:val="kk-KZ"/>
        </w:rPr>
      </w:pPr>
      <w:r>
        <w:rPr>
          <w:rFonts w:ascii="Arial" w:eastAsia="Calibri" w:hAnsi="Arial" w:cs="Arial"/>
          <w:bCs/>
          <w:sz w:val="28"/>
          <w:szCs w:val="28"/>
        </w:rPr>
        <w:t xml:space="preserve">Сроки реализации: </w:t>
      </w:r>
      <w:r>
        <w:rPr>
          <w:rFonts w:ascii="Arial" w:hAnsi="Arial" w:cs="Arial"/>
          <w:color w:val="000000"/>
          <w:sz w:val="28"/>
          <w:szCs w:val="28"/>
        </w:rPr>
        <w:t>2012 – 2016 г</w:t>
      </w:r>
      <w:r>
        <w:rPr>
          <w:rFonts w:ascii="Arial" w:hAnsi="Arial" w:cs="Arial"/>
          <w:color w:val="000000"/>
          <w:sz w:val="28"/>
          <w:szCs w:val="28"/>
          <w:lang w:val="kk-KZ"/>
        </w:rPr>
        <w:t>г.</w:t>
      </w:r>
    </w:p>
    <w:p w:rsidR="00E6072C" w:rsidRDefault="00E6072C" w:rsidP="00E6072C">
      <w:pPr>
        <w:tabs>
          <w:tab w:val="left" w:pos="709"/>
        </w:tabs>
        <w:spacing w:after="0" w:line="240" w:lineRule="auto"/>
        <w:ind w:firstLine="709"/>
        <w:jc w:val="both"/>
        <w:rPr>
          <w:rFonts w:ascii="Arial" w:hAnsi="Arial" w:cs="Arial"/>
          <w:bCs/>
          <w:iCs/>
          <w:sz w:val="28"/>
          <w:szCs w:val="28"/>
          <w:lang w:val="x-none"/>
        </w:rPr>
      </w:pPr>
      <w:r>
        <w:rPr>
          <w:rFonts w:ascii="Arial" w:hAnsi="Arial" w:cs="Arial"/>
          <w:bCs/>
          <w:iCs/>
          <w:sz w:val="28"/>
          <w:szCs w:val="28"/>
        </w:rPr>
        <w:t>В</w:t>
      </w:r>
      <w:r>
        <w:rPr>
          <w:rFonts w:ascii="Arial" w:hAnsi="Arial" w:cs="Arial"/>
          <w:bCs/>
          <w:iCs/>
          <w:sz w:val="28"/>
          <w:szCs w:val="28"/>
          <w:lang w:val="x-none"/>
        </w:rPr>
        <w:t xml:space="preserve"> ноябре 2016 года была завершена реализация  проекта по выпуску высокооктанового автомобильного бензина экологического класса К5. В эксплуатацию были введены следующие объекты: блок гидроочистки прямогонной нафты, блок риформинга и изомеризации гидроочищенной нафты, блок аминовой очистки сернистого газа, секция производства серы. </w:t>
      </w:r>
    </w:p>
    <w:p w:rsidR="00E6072C" w:rsidRDefault="00E6072C" w:rsidP="00E6072C">
      <w:pPr>
        <w:tabs>
          <w:tab w:val="left" w:pos="709"/>
        </w:tabs>
        <w:spacing w:after="0" w:line="240" w:lineRule="auto"/>
        <w:ind w:firstLine="709"/>
        <w:jc w:val="both"/>
        <w:rPr>
          <w:rFonts w:ascii="Arial" w:hAnsi="Arial" w:cs="Arial"/>
          <w:bCs/>
          <w:iCs/>
          <w:sz w:val="28"/>
          <w:szCs w:val="28"/>
          <w:lang w:val="x-none"/>
        </w:rPr>
      </w:pPr>
      <w:r>
        <w:rPr>
          <w:rFonts w:ascii="Arial" w:hAnsi="Arial" w:cs="Arial"/>
          <w:bCs/>
          <w:iCs/>
          <w:sz w:val="28"/>
          <w:szCs w:val="28"/>
        </w:rPr>
        <w:t>В</w:t>
      </w:r>
      <w:r>
        <w:rPr>
          <w:rFonts w:ascii="Arial" w:hAnsi="Arial" w:cs="Arial"/>
          <w:bCs/>
          <w:iCs/>
          <w:sz w:val="28"/>
          <w:szCs w:val="28"/>
          <w:lang w:val="x-none"/>
        </w:rPr>
        <w:t xml:space="preserve"> апреле 2017 года введена в эксплуатацию секция вакуумной перегонки, которая обеспечила максимальное извлечение светлых нефтепродуктов с высокой добавленной стоимостью. </w:t>
      </w:r>
    </w:p>
    <w:p w:rsidR="00E6072C" w:rsidRDefault="00E6072C" w:rsidP="00E6072C">
      <w:pPr>
        <w:tabs>
          <w:tab w:val="left" w:pos="709"/>
        </w:tabs>
        <w:spacing w:after="0" w:line="240" w:lineRule="auto"/>
        <w:ind w:firstLine="709"/>
        <w:jc w:val="both"/>
        <w:rPr>
          <w:rFonts w:ascii="Arial" w:hAnsi="Arial" w:cs="Arial"/>
          <w:bCs/>
          <w:iCs/>
          <w:sz w:val="28"/>
          <w:szCs w:val="28"/>
          <w:lang w:val="x-none"/>
        </w:rPr>
      </w:pPr>
      <w:r>
        <w:rPr>
          <w:rFonts w:ascii="Arial" w:hAnsi="Arial" w:cs="Arial"/>
          <w:bCs/>
          <w:iCs/>
          <w:sz w:val="28"/>
          <w:szCs w:val="28"/>
          <w:lang w:val="x-none"/>
        </w:rPr>
        <w:t>В ноябре 2016 г. началась коммерческая реализация бензина.</w:t>
      </w:r>
    </w:p>
    <w:p w:rsidR="00E6072C" w:rsidRDefault="00E6072C" w:rsidP="00E6072C">
      <w:pPr>
        <w:tabs>
          <w:tab w:val="left" w:pos="709"/>
        </w:tabs>
        <w:spacing w:after="0" w:line="240" w:lineRule="auto"/>
        <w:ind w:firstLine="709"/>
        <w:jc w:val="both"/>
        <w:rPr>
          <w:rFonts w:ascii="Arial" w:hAnsi="Arial" w:cs="Arial"/>
          <w:bCs/>
          <w:iCs/>
          <w:sz w:val="28"/>
          <w:szCs w:val="28"/>
        </w:rPr>
      </w:pPr>
      <w:r>
        <w:rPr>
          <w:rFonts w:ascii="Arial" w:hAnsi="Arial" w:cs="Arial"/>
          <w:bCs/>
          <w:iCs/>
          <w:sz w:val="28"/>
          <w:szCs w:val="28"/>
          <w:lang w:val="x-none"/>
        </w:rPr>
        <w:t>Высокооктановый бензин реализуется через розничные сети АЗС Западно-Казахстанской области (Москвичи, Беркут, Октан, Пит-стоп и пр.), а также через собственную сеть АЗС</w:t>
      </w:r>
      <w:r>
        <w:rPr>
          <w:rFonts w:ascii="Arial" w:hAnsi="Arial" w:cs="Arial"/>
          <w:bCs/>
          <w:iCs/>
          <w:sz w:val="28"/>
          <w:szCs w:val="28"/>
        </w:rPr>
        <w:t>.</w:t>
      </w:r>
    </w:p>
    <w:p w:rsidR="00E6072C" w:rsidRDefault="00E6072C" w:rsidP="00E6072C">
      <w:pPr>
        <w:pStyle w:val="a6"/>
        <w:numPr>
          <w:ilvl w:val="2"/>
          <w:numId w:val="4"/>
        </w:numPr>
        <w:tabs>
          <w:tab w:val="left" w:pos="709"/>
        </w:tabs>
        <w:spacing w:after="0" w:line="240" w:lineRule="auto"/>
        <w:ind w:left="0" w:firstLine="709"/>
        <w:jc w:val="both"/>
        <w:rPr>
          <w:rFonts w:ascii="Arial" w:hAnsi="Arial" w:cs="Arial"/>
          <w:bCs/>
          <w:iCs/>
          <w:sz w:val="28"/>
          <w:szCs w:val="28"/>
        </w:rPr>
      </w:pPr>
      <w:r>
        <w:rPr>
          <w:rFonts w:ascii="Arial" w:hAnsi="Arial" w:cs="Arial"/>
          <w:bCs/>
          <w:iCs/>
          <w:sz w:val="28"/>
          <w:szCs w:val="28"/>
        </w:rPr>
        <w:lastRenderedPageBreak/>
        <w:t>г.</w:t>
      </w:r>
      <w:r>
        <w:rPr>
          <w:rFonts w:ascii="Arial" w:hAnsi="Arial" w:cs="Arial"/>
          <w:bCs/>
          <w:iCs/>
          <w:sz w:val="28"/>
          <w:szCs w:val="28"/>
          <w:lang w:val="x-none"/>
        </w:rPr>
        <w:t xml:space="preserve"> был введен последний объект по подотчетному проекту.</w:t>
      </w:r>
    </w:p>
    <w:p w:rsidR="00E6072C" w:rsidRDefault="00E6072C" w:rsidP="00E6072C">
      <w:pPr>
        <w:tabs>
          <w:tab w:val="left" w:pos="709"/>
        </w:tabs>
        <w:spacing w:after="0" w:line="240" w:lineRule="auto"/>
        <w:ind w:firstLine="709"/>
        <w:jc w:val="both"/>
        <w:rPr>
          <w:rFonts w:ascii="Arial" w:hAnsi="Arial" w:cs="Arial"/>
          <w:bCs/>
          <w:iCs/>
          <w:sz w:val="28"/>
          <w:szCs w:val="28"/>
        </w:rPr>
      </w:pPr>
    </w:p>
    <w:p w:rsidR="00E6072C" w:rsidRDefault="00E6072C" w:rsidP="00E6072C">
      <w:pPr>
        <w:tabs>
          <w:tab w:val="left" w:pos="709"/>
        </w:tabs>
        <w:spacing w:after="0" w:line="240" w:lineRule="auto"/>
        <w:ind w:firstLine="709"/>
        <w:jc w:val="both"/>
        <w:rPr>
          <w:rFonts w:ascii="Arial" w:hAnsi="Arial" w:cs="Arial"/>
          <w:b/>
          <w:color w:val="000000"/>
          <w:sz w:val="28"/>
          <w:szCs w:val="28"/>
          <w:u w:val="single"/>
        </w:rPr>
      </w:pPr>
      <w:r>
        <w:rPr>
          <w:rFonts w:ascii="Arial" w:hAnsi="Arial" w:cs="Arial"/>
          <w:b/>
          <w:color w:val="000000"/>
          <w:sz w:val="28"/>
          <w:szCs w:val="28"/>
          <w:u w:val="single"/>
        </w:rPr>
        <w:t>5</w:t>
      </w:r>
      <w:r>
        <w:rPr>
          <w:rFonts w:ascii="Arial" w:hAnsi="Arial" w:cs="Arial"/>
          <w:color w:val="000000"/>
          <w:sz w:val="28"/>
          <w:szCs w:val="28"/>
          <w:u w:val="single"/>
        </w:rPr>
        <w:t>. ПРОЕКТ:</w:t>
      </w:r>
      <w:r>
        <w:rPr>
          <w:rFonts w:ascii="Arial" w:hAnsi="Arial" w:cs="Arial"/>
          <w:b/>
          <w:color w:val="000000"/>
          <w:sz w:val="28"/>
          <w:szCs w:val="28"/>
          <w:u w:val="single"/>
        </w:rPr>
        <w:t xml:space="preserve"> «МОДЕРНИЗАЦИЯ ПАВЛОДАРСКОГО НХЗ»</w:t>
      </w:r>
    </w:p>
    <w:p w:rsidR="00E6072C" w:rsidRDefault="00E6072C" w:rsidP="00E6072C">
      <w:pPr>
        <w:tabs>
          <w:tab w:val="num" w:pos="0"/>
          <w:tab w:val="left" w:pos="993"/>
        </w:tabs>
        <w:spacing w:before="120" w:after="0" w:line="240" w:lineRule="auto"/>
        <w:ind w:firstLine="709"/>
        <w:jc w:val="both"/>
        <w:rPr>
          <w:rFonts w:ascii="Arial" w:eastAsia="Calibri" w:hAnsi="Arial" w:cs="Arial"/>
          <w:bCs/>
          <w:sz w:val="28"/>
          <w:szCs w:val="28"/>
        </w:rPr>
      </w:pPr>
      <w:r>
        <w:rPr>
          <w:rFonts w:ascii="Arial" w:eastAsia="Calibri" w:hAnsi="Arial" w:cs="Arial"/>
          <w:bCs/>
          <w:sz w:val="28"/>
          <w:szCs w:val="28"/>
        </w:rPr>
        <w:t>Цель проекта:</w:t>
      </w:r>
    </w:p>
    <w:p w:rsidR="00E6072C" w:rsidRDefault="00E6072C" w:rsidP="00E6072C">
      <w:pPr>
        <w:tabs>
          <w:tab w:val="num" w:pos="0"/>
          <w:tab w:val="left" w:pos="993"/>
        </w:tabs>
        <w:spacing w:after="0" w:line="240" w:lineRule="auto"/>
        <w:ind w:firstLine="709"/>
        <w:contextualSpacing/>
        <w:jc w:val="both"/>
        <w:rPr>
          <w:rFonts w:ascii="Arial" w:eastAsia="Calibri" w:hAnsi="Arial" w:cs="Arial"/>
          <w:bCs/>
          <w:sz w:val="28"/>
          <w:szCs w:val="28"/>
        </w:rPr>
      </w:pPr>
      <w:r>
        <w:rPr>
          <w:rFonts w:ascii="Arial" w:eastAsia="Calibri" w:hAnsi="Arial" w:cs="Arial"/>
          <w:bCs/>
          <w:sz w:val="28"/>
          <w:szCs w:val="28"/>
        </w:rPr>
        <w:t>Обеспечение выпуска моторных топлив класса К4 в соответствии с требованиями Технического регламента Таможенного союза.</w:t>
      </w:r>
    </w:p>
    <w:p w:rsidR="00E6072C" w:rsidRDefault="00E6072C" w:rsidP="00E6072C">
      <w:pPr>
        <w:tabs>
          <w:tab w:val="num" w:pos="0"/>
          <w:tab w:val="left" w:pos="993"/>
        </w:tabs>
        <w:spacing w:after="0" w:line="240" w:lineRule="auto"/>
        <w:ind w:firstLine="709"/>
        <w:contextualSpacing/>
        <w:jc w:val="both"/>
        <w:rPr>
          <w:rFonts w:ascii="Arial" w:eastAsia="Calibri" w:hAnsi="Arial" w:cs="Arial"/>
          <w:bCs/>
          <w:sz w:val="28"/>
          <w:szCs w:val="28"/>
        </w:rPr>
      </w:pPr>
      <w:r>
        <w:rPr>
          <w:rFonts w:ascii="Arial" w:hAnsi="Arial" w:cs="Arial"/>
          <w:bCs/>
          <w:sz w:val="28"/>
          <w:szCs w:val="28"/>
        </w:rPr>
        <w:t xml:space="preserve">Текущий статус: Работы по проекту модернизации завершены. </w:t>
      </w:r>
    </w:p>
    <w:p w:rsidR="00E6072C" w:rsidRDefault="00E6072C" w:rsidP="00E6072C">
      <w:pPr>
        <w:tabs>
          <w:tab w:val="num" w:pos="0"/>
        </w:tabs>
        <w:spacing w:after="0" w:line="240" w:lineRule="auto"/>
        <w:ind w:firstLine="709"/>
        <w:jc w:val="both"/>
        <w:rPr>
          <w:rFonts w:ascii="Arial" w:hAnsi="Arial" w:cs="Arial"/>
          <w:bCs/>
          <w:sz w:val="28"/>
          <w:szCs w:val="28"/>
        </w:rPr>
      </w:pPr>
      <w:r>
        <w:rPr>
          <w:rFonts w:ascii="Arial" w:eastAsia="Calibri" w:hAnsi="Arial" w:cs="Arial"/>
          <w:bCs/>
          <w:sz w:val="28"/>
          <w:szCs w:val="28"/>
        </w:rPr>
        <w:t xml:space="preserve">Сроки реализации: </w:t>
      </w:r>
      <w:r>
        <w:rPr>
          <w:rFonts w:ascii="Arial" w:hAnsi="Arial" w:cs="Arial"/>
          <w:bCs/>
          <w:sz w:val="28"/>
          <w:szCs w:val="28"/>
        </w:rPr>
        <w:t>201</w:t>
      </w:r>
      <w:r>
        <w:rPr>
          <w:rFonts w:ascii="Arial" w:hAnsi="Arial" w:cs="Arial"/>
          <w:bCs/>
          <w:sz w:val="28"/>
          <w:szCs w:val="28"/>
          <w:lang w:val="kk-KZ"/>
        </w:rPr>
        <w:t>1</w:t>
      </w:r>
      <w:r>
        <w:rPr>
          <w:rFonts w:ascii="Arial" w:hAnsi="Arial" w:cs="Arial"/>
          <w:bCs/>
          <w:sz w:val="28"/>
          <w:szCs w:val="28"/>
        </w:rPr>
        <w:t>-2017 гг.</w:t>
      </w:r>
    </w:p>
    <w:p w:rsidR="00E6072C" w:rsidRDefault="00E6072C" w:rsidP="00E6072C">
      <w:pPr>
        <w:tabs>
          <w:tab w:val="num" w:pos="0"/>
        </w:tabs>
        <w:spacing w:after="0" w:line="240" w:lineRule="auto"/>
        <w:ind w:firstLine="709"/>
        <w:jc w:val="both"/>
        <w:rPr>
          <w:rFonts w:ascii="Arial" w:hAnsi="Arial" w:cs="Arial"/>
          <w:bCs/>
          <w:sz w:val="28"/>
          <w:szCs w:val="28"/>
        </w:rPr>
      </w:pPr>
      <w:r>
        <w:rPr>
          <w:rFonts w:ascii="Arial" w:hAnsi="Arial" w:cs="Arial"/>
          <w:bCs/>
          <w:sz w:val="28"/>
          <w:szCs w:val="28"/>
        </w:rPr>
        <w:t xml:space="preserve">Подрядчики: </w:t>
      </w:r>
      <w:r>
        <w:rPr>
          <w:rFonts w:ascii="Arial" w:hAnsi="Arial" w:cs="Arial"/>
          <w:bCs/>
          <w:sz w:val="28"/>
          <w:szCs w:val="28"/>
          <w:lang w:val="en-US"/>
        </w:rPr>
        <w:t>Rominserv</w:t>
      </w:r>
      <w:r w:rsidRPr="00E6072C">
        <w:rPr>
          <w:rFonts w:ascii="Arial" w:hAnsi="Arial" w:cs="Arial"/>
          <w:bCs/>
          <w:sz w:val="28"/>
          <w:szCs w:val="28"/>
        </w:rPr>
        <w:t xml:space="preserve"> </w:t>
      </w:r>
      <w:r>
        <w:rPr>
          <w:rFonts w:ascii="Arial" w:hAnsi="Arial" w:cs="Arial"/>
          <w:bCs/>
          <w:sz w:val="28"/>
          <w:szCs w:val="28"/>
          <w:lang w:val="en-US"/>
        </w:rPr>
        <w:t>S</w:t>
      </w:r>
      <w:r>
        <w:rPr>
          <w:rFonts w:ascii="Arial" w:hAnsi="Arial" w:cs="Arial"/>
          <w:bCs/>
          <w:sz w:val="28"/>
          <w:szCs w:val="28"/>
        </w:rPr>
        <w:t>.</w:t>
      </w:r>
      <w:r>
        <w:rPr>
          <w:rFonts w:ascii="Arial" w:hAnsi="Arial" w:cs="Arial"/>
          <w:bCs/>
          <w:sz w:val="28"/>
          <w:szCs w:val="28"/>
          <w:lang w:val="en-US"/>
        </w:rPr>
        <w:t>R</w:t>
      </w:r>
      <w:r>
        <w:rPr>
          <w:rFonts w:ascii="Arial" w:hAnsi="Arial" w:cs="Arial"/>
          <w:bCs/>
          <w:sz w:val="28"/>
          <w:szCs w:val="28"/>
        </w:rPr>
        <w:t>.</w:t>
      </w:r>
      <w:r>
        <w:rPr>
          <w:rFonts w:ascii="Arial" w:hAnsi="Arial" w:cs="Arial"/>
          <w:bCs/>
          <w:sz w:val="28"/>
          <w:szCs w:val="28"/>
          <w:lang w:val="en-US"/>
        </w:rPr>
        <w:t>L</w:t>
      </w:r>
      <w:r>
        <w:rPr>
          <w:rFonts w:ascii="Arial" w:hAnsi="Arial" w:cs="Arial"/>
          <w:bCs/>
          <w:sz w:val="28"/>
          <w:szCs w:val="28"/>
        </w:rPr>
        <w:t xml:space="preserve">. (Румыния), </w:t>
      </w:r>
      <w:r>
        <w:rPr>
          <w:rFonts w:ascii="Arial" w:hAnsi="Arial" w:cs="Arial"/>
          <w:bCs/>
          <w:sz w:val="28"/>
          <w:szCs w:val="28"/>
          <w:lang w:val="en-US"/>
        </w:rPr>
        <w:t>NFC</w:t>
      </w:r>
      <w:r>
        <w:rPr>
          <w:rFonts w:ascii="Arial" w:hAnsi="Arial" w:cs="Arial"/>
          <w:bCs/>
          <w:sz w:val="28"/>
          <w:szCs w:val="28"/>
        </w:rPr>
        <w:t xml:space="preserve"> (КНР).</w:t>
      </w:r>
    </w:p>
    <w:p w:rsidR="00E6072C" w:rsidRDefault="00E6072C" w:rsidP="00E6072C">
      <w:pPr>
        <w:tabs>
          <w:tab w:val="left" w:pos="709"/>
        </w:tabs>
        <w:spacing w:after="0" w:line="240" w:lineRule="auto"/>
        <w:ind w:firstLine="709"/>
        <w:jc w:val="both"/>
        <w:rPr>
          <w:rFonts w:ascii="Arial" w:hAnsi="Arial" w:cs="Arial"/>
          <w:b/>
          <w:color w:val="000000"/>
          <w:sz w:val="28"/>
          <w:szCs w:val="28"/>
          <w:u w:val="single"/>
        </w:rPr>
      </w:pPr>
    </w:p>
    <w:p w:rsidR="00E6072C" w:rsidRDefault="00E6072C" w:rsidP="00E6072C">
      <w:pPr>
        <w:tabs>
          <w:tab w:val="left" w:pos="709"/>
          <w:tab w:val="left" w:pos="2268"/>
        </w:tabs>
        <w:spacing w:after="0" w:line="240" w:lineRule="auto"/>
        <w:ind w:firstLine="709"/>
        <w:jc w:val="both"/>
        <w:rPr>
          <w:rFonts w:ascii="Arial" w:hAnsi="Arial" w:cs="Arial"/>
          <w:b/>
          <w:color w:val="000000"/>
          <w:sz w:val="28"/>
          <w:szCs w:val="28"/>
          <w:u w:val="single"/>
        </w:rPr>
      </w:pPr>
      <w:r>
        <w:rPr>
          <w:rFonts w:ascii="Arial" w:hAnsi="Arial" w:cs="Arial"/>
          <w:b/>
          <w:bCs/>
          <w:iCs/>
          <w:sz w:val="28"/>
          <w:szCs w:val="28"/>
          <w:u w:val="single"/>
        </w:rPr>
        <w:t>6</w:t>
      </w:r>
      <w:r>
        <w:rPr>
          <w:rFonts w:ascii="Arial" w:hAnsi="Arial" w:cs="Arial"/>
          <w:bCs/>
          <w:iCs/>
          <w:sz w:val="28"/>
          <w:szCs w:val="28"/>
          <w:u w:val="single"/>
        </w:rPr>
        <w:t>. ПРОЕКТ:</w:t>
      </w:r>
      <w:r>
        <w:rPr>
          <w:rFonts w:ascii="Arial" w:hAnsi="Arial" w:cs="Arial"/>
          <w:bCs/>
          <w:iCs/>
          <w:sz w:val="28"/>
          <w:szCs w:val="28"/>
          <w:u w:val="single"/>
          <w:lang w:val="x-none"/>
        </w:rPr>
        <w:tab/>
      </w:r>
      <w:r>
        <w:rPr>
          <w:rFonts w:ascii="Arial" w:hAnsi="Arial" w:cs="Arial"/>
          <w:bCs/>
          <w:iCs/>
          <w:sz w:val="28"/>
          <w:szCs w:val="28"/>
          <w:u w:val="single"/>
        </w:rPr>
        <w:t>«</w:t>
      </w:r>
      <w:r>
        <w:rPr>
          <w:rFonts w:ascii="Arial" w:hAnsi="Arial" w:cs="Arial"/>
          <w:b/>
          <w:color w:val="000000"/>
          <w:sz w:val="28"/>
          <w:szCs w:val="28"/>
          <w:u w:val="single"/>
        </w:rPr>
        <w:t xml:space="preserve">РЕКОНСТРУКЦИЯ И МОДЕРНИЗАЦИЯ ШЫМКЕНТСКОГО НПЗ». </w:t>
      </w:r>
    </w:p>
    <w:p w:rsidR="00E6072C" w:rsidRDefault="00E6072C" w:rsidP="00E6072C">
      <w:pPr>
        <w:pStyle w:val="a4"/>
        <w:tabs>
          <w:tab w:val="num" w:pos="0"/>
          <w:tab w:val="left" w:pos="993"/>
        </w:tabs>
        <w:spacing w:before="120" w:line="276" w:lineRule="auto"/>
        <w:ind w:firstLine="709"/>
        <w:jc w:val="both"/>
        <w:rPr>
          <w:rFonts w:ascii="Arial" w:hAnsi="Arial" w:cs="Arial"/>
          <w:sz w:val="28"/>
          <w:szCs w:val="28"/>
        </w:rPr>
      </w:pPr>
      <w:r>
        <w:rPr>
          <w:rFonts w:ascii="Arial" w:hAnsi="Arial" w:cs="Arial"/>
          <w:sz w:val="28"/>
          <w:szCs w:val="28"/>
        </w:rPr>
        <w:t>Цел</w:t>
      </w:r>
      <w:r>
        <w:rPr>
          <w:rFonts w:ascii="Arial" w:hAnsi="Arial" w:cs="Arial"/>
          <w:sz w:val="28"/>
          <w:szCs w:val="28"/>
          <w:lang w:val="kk-KZ"/>
        </w:rPr>
        <w:t>и</w:t>
      </w:r>
      <w:r>
        <w:rPr>
          <w:rFonts w:ascii="Arial" w:hAnsi="Arial" w:cs="Arial"/>
          <w:sz w:val="28"/>
          <w:szCs w:val="28"/>
        </w:rPr>
        <w:t xml:space="preserve"> проекта: </w:t>
      </w:r>
    </w:p>
    <w:p w:rsidR="00E6072C" w:rsidRDefault="00E6072C" w:rsidP="00E6072C">
      <w:pPr>
        <w:pStyle w:val="a6"/>
        <w:numPr>
          <w:ilvl w:val="0"/>
          <w:numId w:val="5"/>
        </w:numPr>
        <w:tabs>
          <w:tab w:val="num" w:pos="0"/>
          <w:tab w:val="left" w:pos="993"/>
        </w:tabs>
        <w:spacing w:after="0" w:line="240" w:lineRule="auto"/>
        <w:ind w:left="0" w:firstLine="709"/>
        <w:jc w:val="both"/>
        <w:rPr>
          <w:rFonts w:ascii="Arial" w:hAnsi="Arial" w:cs="Arial"/>
          <w:bCs/>
          <w:sz w:val="28"/>
          <w:szCs w:val="28"/>
        </w:rPr>
      </w:pPr>
      <w:r>
        <w:rPr>
          <w:rFonts w:ascii="Arial" w:hAnsi="Arial" w:cs="Arial"/>
          <w:bCs/>
          <w:sz w:val="28"/>
          <w:szCs w:val="28"/>
        </w:rPr>
        <w:t>Восстановление проектной мощности до 6 млн. тонн нефти в год;</w:t>
      </w:r>
    </w:p>
    <w:p w:rsidR="00E6072C" w:rsidRDefault="00E6072C" w:rsidP="00E6072C">
      <w:pPr>
        <w:pStyle w:val="a6"/>
        <w:numPr>
          <w:ilvl w:val="0"/>
          <w:numId w:val="5"/>
        </w:numPr>
        <w:tabs>
          <w:tab w:val="num" w:pos="0"/>
          <w:tab w:val="left" w:pos="993"/>
        </w:tabs>
        <w:spacing w:after="0" w:line="240" w:lineRule="auto"/>
        <w:ind w:left="0" w:firstLine="709"/>
        <w:jc w:val="both"/>
        <w:rPr>
          <w:rFonts w:ascii="Arial" w:hAnsi="Arial" w:cs="Arial"/>
          <w:bCs/>
          <w:sz w:val="28"/>
          <w:szCs w:val="28"/>
        </w:rPr>
      </w:pPr>
      <w:r>
        <w:rPr>
          <w:rFonts w:ascii="Arial" w:hAnsi="Arial" w:cs="Arial"/>
          <w:bCs/>
          <w:sz w:val="28"/>
          <w:szCs w:val="28"/>
        </w:rPr>
        <w:t>Обеспечение выпуска моторных топлив классов К-4, К-5, в соответствии с требованиями Технического регламента Таможенного союза;</w:t>
      </w:r>
    </w:p>
    <w:p w:rsidR="00E6072C" w:rsidRDefault="00E6072C" w:rsidP="00E6072C">
      <w:pPr>
        <w:pStyle w:val="a6"/>
        <w:numPr>
          <w:ilvl w:val="0"/>
          <w:numId w:val="5"/>
        </w:numPr>
        <w:tabs>
          <w:tab w:val="num" w:pos="0"/>
          <w:tab w:val="left" w:pos="993"/>
        </w:tabs>
        <w:spacing w:after="0" w:line="240" w:lineRule="auto"/>
        <w:ind w:left="0" w:firstLine="709"/>
        <w:jc w:val="both"/>
        <w:rPr>
          <w:rFonts w:ascii="Arial" w:hAnsi="Arial" w:cs="Arial"/>
          <w:bCs/>
          <w:sz w:val="28"/>
          <w:szCs w:val="28"/>
        </w:rPr>
      </w:pPr>
      <w:r>
        <w:rPr>
          <w:rFonts w:ascii="Arial" w:hAnsi="Arial" w:cs="Arial"/>
          <w:bCs/>
          <w:sz w:val="28"/>
          <w:szCs w:val="28"/>
        </w:rPr>
        <w:t>Увеличение глубины переработки нефти.</w:t>
      </w:r>
    </w:p>
    <w:p w:rsidR="00E6072C" w:rsidRDefault="00E6072C" w:rsidP="00E6072C">
      <w:pPr>
        <w:pStyle w:val="a4"/>
        <w:tabs>
          <w:tab w:val="num" w:pos="0"/>
          <w:tab w:val="left" w:pos="993"/>
        </w:tabs>
        <w:ind w:firstLine="709"/>
        <w:jc w:val="both"/>
        <w:rPr>
          <w:rFonts w:ascii="Arial" w:hAnsi="Arial" w:cs="Arial"/>
          <w:sz w:val="28"/>
          <w:szCs w:val="28"/>
        </w:rPr>
      </w:pPr>
      <w:r>
        <w:rPr>
          <w:rFonts w:ascii="Arial" w:hAnsi="Arial" w:cs="Arial"/>
          <w:sz w:val="28"/>
          <w:szCs w:val="28"/>
        </w:rPr>
        <w:t>Текущий статус: Введены в эксплуатацию установки по выпуску автобензина и дизельного топлива экологического класса К-4 и К-5 в соответствии с требованиями Технического регламента Таможенного союза.</w:t>
      </w:r>
    </w:p>
    <w:p w:rsidR="00E6072C" w:rsidRDefault="00E6072C" w:rsidP="00E6072C">
      <w:pPr>
        <w:pStyle w:val="a6"/>
        <w:tabs>
          <w:tab w:val="left" w:pos="993"/>
        </w:tabs>
        <w:spacing w:after="0" w:line="240" w:lineRule="auto"/>
        <w:ind w:left="0" w:firstLine="709"/>
        <w:jc w:val="both"/>
        <w:rPr>
          <w:rFonts w:ascii="Arial" w:hAnsi="Arial" w:cs="Arial"/>
          <w:bCs/>
          <w:sz w:val="28"/>
          <w:szCs w:val="28"/>
        </w:rPr>
      </w:pPr>
      <w:r>
        <w:rPr>
          <w:rFonts w:ascii="Arial" w:hAnsi="Arial" w:cs="Arial"/>
          <w:sz w:val="28"/>
          <w:szCs w:val="28"/>
        </w:rPr>
        <w:t>До конца сентября 2018 года планируются завершить работы по увеличению глубины переработки нефти.</w:t>
      </w:r>
      <w:r>
        <w:rPr>
          <w:rFonts w:ascii="Arial" w:hAnsi="Arial" w:cs="Arial"/>
          <w:bCs/>
          <w:sz w:val="28"/>
          <w:szCs w:val="28"/>
        </w:rPr>
        <w:t xml:space="preserve"> </w:t>
      </w:r>
      <w:r>
        <w:rPr>
          <w:rFonts w:ascii="Arial" w:hAnsi="Arial" w:cs="Arial"/>
          <w:bCs/>
          <w:i/>
          <w:sz w:val="28"/>
          <w:szCs w:val="28"/>
        </w:rPr>
        <w:t>(Завершена разработка рабочей документации (100%), завершено размещение заказов на оборудование и материалы, поставлено оборудования (95%). Смонтировано оборудования (68%))</w:t>
      </w:r>
      <w:r>
        <w:rPr>
          <w:rFonts w:ascii="Arial" w:hAnsi="Arial" w:cs="Arial"/>
          <w:bCs/>
          <w:sz w:val="28"/>
          <w:szCs w:val="28"/>
        </w:rPr>
        <w:t>.</w:t>
      </w:r>
    </w:p>
    <w:p w:rsidR="00E6072C" w:rsidRDefault="00E6072C" w:rsidP="00E6072C">
      <w:pPr>
        <w:pStyle w:val="a4"/>
        <w:tabs>
          <w:tab w:val="num" w:pos="0"/>
          <w:tab w:val="left" w:pos="993"/>
        </w:tabs>
        <w:ind w:firstLine="709"/>
        <w:jc w:val="both"/>
        <w:rPr>
          <w:rFonts w:ascii="Arial" w:hAnsi="Arial" w:cs="Arial"/>
          <w:sz w:val="28"/>
          <w:szCs w:val="28"/>
        </w:rPr>
      </w:pPr>
      <w:r>
        <w:rPr>
          <w:rFonts w:ascii="Arial" w:eastAsia="Calibri" w:hAnsi="Arial" w:cs="Arial"/>
          <w:bCs/>
          <w:sz w:val="28"/>
          <w:szCs w:val="28"/>
        </w:rPr>
        <w:t>Сроки реализации:</w:t>
      </w:r>
      <w:r>
        <w:rPr>
          <w:rFonts w:ascii="Arial" w:hAnsi="Arial" w:cs="Arial"/>
          <w:sz w:val="28"/>
          <w:szCs w:val="28"/>
        </w:rPr>
        <w:t xml:space="preserve"> 2011 – 2018 гг.</w:t>
      </w:r>
    </w:p>
    <w:p w:rsidR="00E6072C" w:rsidRDefault="00E6072C" w:rsidP="00E6072C">
      <w:pPr>
        <w:pStyle w:val="a4"/>
        <w:tabs>
          <w:tab w:val="num" w:pos="0"/>
          <w:tab w:val="left" w:pos="993"/>
        </w:tabs>
        <w:ind w:firstLine="709"/>
        <w:jc w:val="both"/>
        <w:rPr>
          <w:rFonts w:ascii="Arial" w:hAnsi="Arial" w:cs="Arial"/>
          <w:color w:val="000000"/>
          <w:sz w:val="28"/>
          <w:szCs w:val="28"/>
        </w:rPr>
      </w:pPr>
      <w:r>
        <w:rPr>
          <w:rFonts w:ascii="Arial" w:hAnsi="Arial" w:cs="Arial"/>
          <w:sz w:val="28"/>
          <w:szCs w:val="28"/>
        </w:rPr>
        <w:t xml:space="preserve">Генеральный подрядчик: </w:t>
      </w:r>
      <w:r>
        <w:rPr>
          <w:rFonts w:ascii="Arial" w:hAnsi="Arial" w:cs="Arial"/>
          <w:sz w:val="28"/>
          <w:szCs w:val="28"/>
          <w:lang w:val="en-US"/>
        </w:rPr>
        <w:t>China</w:t>
      </w:r>
      <w:r w:rsidRPr="00E6072C">
        <w:rPr>
          <w:rFonts w:ascii="Arial" w:hAnsi="Arial" w:cs="Arial"/>
          <w:sz w:val="28"/>
          <w:szCs w:val="28"/>
        </w:rPr>
        <w:t xml:space="preserve"> </w:t>
      </w:r>
      <w:r>
        <w:rPr>
          <w:rFonts w:ascii="Arial" w:hAnsi="Arial" w:cs="Arial"/>
          <w:sz w:val="28"/>
          <w:szCs w:val="28"/>
          <w:lang w:val="en-US"/>
        </w:rPr>
        <w:t>Petroleum</w:t>
      </w:r>
      <w:r w:rsidRPr="00E6072C">
        <w:rPr>
          <w:rFonts w:ascii="Arial" w:hAnsi="Arial" w:cs="Arial"/>
          <w:sz w:val="28"/>
          <w:szCs w:val="28"/>
        </w:rPr>
        <w:t xml:space="preserve"> </w:t>
      </w:r>
      <w:r>
        <w:rPr>
          <w:rFonts w:ascii="Arial" w:hAnsi="Arial" w:cs="Arial"/>
          <w:sz w:val="28"/>
          <w:szCs w:val="28"/>
          <w:lang w:val="en-US"/>
        </w:rPr>
        <w:t>Engineering</w:t>
      </w:r>
      <w:r w:rsidRPr="00E6072C">
        <w:rPr>
          <w:rFonts w:ascii="Arial" w:hAnsi="Arial" w:cs="Arial"/>
          <w:sz w:val="28"/>
          <w:szCs w:val="28"/>
        </w:rPr>
        <w:t xml:space="preserve"> </w:t>
      </w:r>
      <w:r>
        <w:rPr>
          <w:rFonts w:ascii="Arial" w:hAnsi="Arial" w:cs="Arial"/>
          <w:sz w:val="28"/>
          <w:szCs w:val="28"/>
          <w:lang w:val="en-US"/>
        </w:rPr>
        <w:t>and</w:t>
      </w:r>
      <w:r w:rsidRPr="00E6072C">
        <w:rPr>
          <w:rFonts w:ascii="Arial" w:hAnsi="Arial" w:cs="Arial"/>
          <w:sz w:val="28"/>
          <w:szCs w:val="28"/>
        </w:rPr>
        <w:t xml:space="preserve"> </w:t>
      </w:r>
      <w:r>
        <w:rPr>
          <w:rFonts w:ascii="Arial" w:hAnsi="Arial" w:cs="Arial"/>
          <w:sz w:val="28"/>
          <w:szCs w:val="28"/>
          <w:lang w:val="en-US"/>
        </w:rPr>
        <w:t>Construction</w:t>
      </w:r>
      <w:r w:rsidRPr="00E6072C">
        <w:rPr>
          <w:rFonts w:ascii="Arial" w:hAnsi="Arial" w:cs="Arial"/>
          <w:sz w:val="28"/>
          <w:szCs w:val="28"/>
        </w:rPr>
        <w:t xml:space="preserve"> </w:t>
      </w:r>
      <w:r>
        <w:rPr>
          <w:rFonts w:ascii="Arial" w:hAnsi="Arial" w:cs="Arial"/>
          <w:sz w:val="28"/>
          <w:szCs w:val="28"/>
          <w:lang w:val="en-US"/>
        </w:rPr>
        <w:t>Corporation</w:t>
      </w:r>
      <w:r>
        <w:rPr>
          <w:rFonts w:ascii="Arial" w:hAnsi="Arial" w:cs="Arial"/>
          <w:sz w:val="28"/>
          <w:szCs w:val="28"/>
        </w:rPr>
        <w:t xml:space="preserve"> (дочерняя организация </w:t>
      </w:r>
      <w:r>
        <w:rPr>
          <w:rFonts w:ascii="Arial" w:hAnsi="Arial" w:cs="Arial"/>
          <w:sz w:val="28"/>
          <w:szCs w:val="28"/>
          <w:lang w:val="en-US"/>
        </w:rPr>
        <w:t>CNPC</w:t>
      </w:r>
      <w:r>
        <w:rPr>
          <w:rFonts w:ascii="Arial" w:hAnsi="Arial" w:cs="Arial"/>
          <w:sz w:val="28"/>
          <w:szCs w:val="28"/>
        </w:rPr>
        <w:t>, КНР).</w:t>
      </w:r>
      <w:r>
        <w:rPr>
          <w:rFonts w:ascii="Arial" w:hAnsi="Arial" w:cs="Arial"/>
          <w:color w:val="000000"/>
          <w:sz w:val="28"/>
          <w:szCs w:val="28"/>
        </w:rPr>
        <w:t xml:space="preserve"> </w:t>
      </w:r>
    </w:p>
    <w:p w:rsidR="00A56F8C" w:rsidRDefault="00A56F8C">
      <w:bookmarkStart w:id="0" w:name="_GoBack"/>
      <w:bookmarkEnd w:id="0"/>
    </w:p>
    <w:sectPr w:rsidR="00A56F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6A349B"/>
    <w:multiLevelType w:val="hybridMultilevel"/>
    <w:tmpl w:val="AF387D92"/>
    <w:lvl w:ilvl="0" w:tplc="E0DE1E2E">
      <w:start w:val="1"/>
      <w:numFmt w:val="decimal"/>
      <w:lvlText w:val="%1."/>
      <w:lvlJc w:val="left"/>
      <w:pPr>
        <w:ind w:left="1069" w:hanging="360"/>
      </w:pPr>
      <w:rPr>
        <w:rFonts w:ascii="Times New Roman" w:hAnsi="Times New Roman" w:cs="Times New Roman" w:hint="default"/>
        <w:b/>
        <w:i w:val="0"/>
        <w:color w:val="000000"/>
        <w:sz w:val="28"/>
        <w:szCs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BA44DAF"/>
    <w:multiLevelType w:val="multilevel"/>
    <w:tmpl w:val="D746207A"/>
    <w:lvl w:ilvl="0">
      <w:start w:val="10"/>
      <w:numFmt w:val="decimal"/>
      <w:lvlText w:val="%1"/>
      <w:lvlJc w:val="left"/>
      <w:pPr>
        <w:ind w:left="1200" w:hanging="1200"/>
      </w:pPr>
    </w:lvl>
    <w:lvl w:ilvl="1">
      <w:start w:val="4"/>
      <w:numFmt w:val="decimalZero"/>
      <w:lvlText w:val="%1.%2"/>
      <w:lvlJc w:val="left"/>
      <w:pPr>
        <w:ind w:left="1554" w:hanging="1200"/>
      </w:pPr>
    </w:lvl>
    <w:lvl w:ilvl="2">
      <w:start w:val="2017"/>
      <w:numFmt w:val="decimal"/>
      <w:lvlText w:val="%1.%2.%3"/>
      <w:lvlJc w:val="left"/>
      <w:pPr>
        <w:ind w:left="1908" w:hanging="1200"/>
      </w:pPr>
    </w:lvl>
    <w:lvl w:ilvl="3">
      <w:start w:val="1"/>
      <w:numFmt w:val="decimal"/>
      <w:lvlText w:val="%1.%2.%3.%4"/>
      <w:lvlJc w:val="left"/>
      <w:pPr>
        <w:ind w:left="2262" w:hanging="1200"/>
      </w:pPr>
    </w:lvl>
    <w:lvl w:ilvl="4">
      <w:start w:val="1"/>
      <w:numFmt w:val="decimal"/>
      <w:lvlText w:val="%1.%2.%3.%4.%5"/>
      <w:lvlJc w:val="left"/>
      <w:pPr>
        <w:ind w:left="2616" w:hanging="1200"/>
      </w:pPr>
    </w:lvl>
    <w:lvl w:ilvl="5">
      <w:start w:val="1"/>
      <w:numFmt w:val="decimal"/>
      <w:lvlText w:val="%1.%2.%3.%4.%5.%6"/>
      <w:lvlJc w:val="left"/>
      <w:pPr>
        <w:ind w:left="3210" w:hanging="1440"/>
      </w:pPr>
    </w:lvl>
    <w:lvl w:ilvl="6">
      <w:start w:val="1"/>
      <w:numFmt w:val="decimal"/>
      <w:lvlText w:val="%1.%2.%3.%4.%5.%6.%7"/>
      <w:lvlJc w:val="left"/>
      <w:pPr>
        <w:ind w:left="3564" w:hanging="1440"/>
      </w:pPr>
    </w:lvl>
    <w:lvl w:ilvl="7">
      <w:start w:val="1"/>
      <w:numFmt w:val="decimal"/>
      <w:lvlText w:val="%1.%2.%3.%4.%5.%6.%7.%8"/>
      <w:lvlJc w:val="left"/>
      <w:pPr>
        <w:ind w:left="4278" w:hanging="1800"/>
      </w:pPr>
    </w:lvl>
    <w:lvl w:ilvl="8">
      <w:start w:val="1"/>
      <w:numFmt w:val="decimal"/>
      <w:lvlText w:val="%1.%2.%3.%4.%5.%6.%7.%8.%9"/>
      <w:lvlJc w:val="left"/>
      <w:pPr>
        <w:ind w:left="4992" w:hanging="2160"/>
      </w:pPr>
    </w:lvl>
  </w:abstractNum>
  <w:abstractNum w:abstractNumId="2">
    <w:nsid w:val="4227027B"/>
    <w:multiLevelType w:val="hybridMultilevel"/>
    <w:tmpl w:val="86FCFB22"/>
    <w:lvl w:ilvl="0" w:tplc="04190011">
      <w:start w:val="1"/>
      <w:numFmt w:val="decimal"/>
      <w:lvlText w:val="%1)"/>
      <w:lvlJc w:val="left"/>
      <w:pPr>
        <w:ind w:left="1425" w:hanging="360"/>
      </w:pPr>
    </w:lvl>
    <w:lvl w:ilvl="1" w:tplc="04190019">
      <w:start w:val="1"/>
      <w:numFmt w:val="lowerLetter"/>
      <w:lvlText w:val="%2."/>
      <w:lvlJc w:val="left"/>
      <w:pPr>
        <w:ind w:left="2145" w:hanging="360"/>
      </w:pPr>
    </w:lvl>
    <w:lvl w:ilvl="2" w:tplc="0419001B">
      <w:start w:val="1"/>
      <w:numFmt w:val="lowerRoman"/>
      <w:lvlText w:val="%3."/>
      <w:lvlJc w:val="right"/>
      <w:pPr>
        <w:ind w:left="2865" w:hanging="180"/>
      </w:pPr>
    </w:lvl>
    <w:lvl w:ilvl="3" w:tplc="0419000F">
      <w:start w:val="1"/>
      <w:numFmt w:val="decimal"/>
      <w:lvlText w:val="%4."/>
      <w:lvlJc w:val="left"/>
      <w:pPr>
        <w:ind w:left="3585" w:hanging="360"/>
      </w:pPr>
    </w:lvl>
    <w:lvl w:ilvl="4" w:tplc="04190019">
      <w:start w:val="1"/>
      <w:numFmt w:val="lowerLetter"/>
      <w:lvlText w:val="%5."/>
      <w:lvlJc w:val="left"/>
      <w:pPr>
        <w:ind w:left="4305" w:hanging="360"/>
      </w:pPr>
    </w:lvl>
    <w:lvl w:ilvl="5" w:tplc="0419001B">
      <w:start w:val="1"/>
      <w:numFmt w:val="lowerRoman"/>
      <w:lvlText w:val="%6."/>
      <w:lvlJc w:val="right"/>
      <w:pPr>
        <w:ind w:left="5025" w:hanging="180"/>
      </w:pPr>
    </w:lvl>
    <w:lvl w:ilvl="6" w:tplc="0419000F">
      <w:start w:val="1"/>
      <w:numFmt w:val="decimal"/>
      <w:lvlText w:val="%7."/>
      <w:lvlJc w:val="left"/>
      <w:pPr>
        <w:ind w:left="5745" w:hanging="360"/>
      </w:pPr>
    </w:lvl>
    <w:lvl w:ilvl="7" w:tplc="04190019">
      <w:start w:val="1"/>
      <w:numFmt w:val="lowerLetter"/>
      <w:lvlText w:val="%8."/>
      <w:lvlJc w:val="left"/>
      <w:pPr>
        <w:ind w:left="6465" w:hanging="360"/>
      </w:pPr>
    </w:lvl>
    <w:lvl w:ilvl="8" w:tplc="0419001B">
      <w:start w:val="1"/>
      <w:numFmt w:val="lowerRoman"/>
      <w:lvlText w:val="%9."/>
      <w:lvlJc w:val="right"/>
      <w:pPr>
        <w:ind w:left="7185" w:hanging="180"/>
      </w:pPr>
    </w:lvl>
  </w:abstractNum>
  <w:abstractNum w:abstractNumId="3">
    <w:nsid w:val="7B6E0420"/>
    <w:multiLevelType w:val="hybridMultilevel"/>
    <w:tmpl w:val="0DF0F58A"/>
    <w:lvl w:ilvl="0" w:tplc="5D587D2A">
      <w:start w:val="1"/>
      <w:numFmt w:val="decimal"/>
      <w:lvlText w:val="%1."/>
      <w:lvlJc w:val="left"/>
      <w:pPr>
        <w:tabs>
          <w:tab w:val="num" w:pos="720"/>
        </w:tabs>
        <w:ind w:left="720" w:hanging="360"/>
      </w:pPr>
      <w:rPr>
        <w:i w:val="0"/>
      </w:rPr>
    </w:lvl>
    <w:lvl w:ilvl="1" w:tplc="45AE92CC">
      <w:start w:val="1"/>
      <w:numFmt w:val="decimal"/>
      <w:lvlText w:val="%2."/>
      <w:lvlJc w:val="left"/>
      <w:pPr>
        <w:tabs>
          <w:tab w:val="num" w:pos="1440"/>
        </w:tabs>
        <w:ind w:left="1440" w:hanging="360"/>
      </w:pPr>
    </w:lvl>
    <w:lvl w:ilvl="2" w:tplc="BD6EB958">
      <w:start w:val="1"/>
      <w:numFmt w:val="decimal"/>
      <w:suff w:val="space"/>
      <w:lvlText w:val="%3."/>
      <w:lvlJc w:val="left"/>
      <w:pPr>
        <w:ind w:left="1068" w:hanging="360"/>
      </w:pPr>
    </w:lvl>
    <w:lvl w:ilvl="3" w:tplc="67E40814">
      <w:start w:val="1"/>
      <w:numFmt w:val="decimal"/>
      <w:lvlText w:val="%4."/>
      <w:lvlJc w:val="left"/>
      <w:pPr>
        <w:tabs>
          <w:tab w:val="num" w:pos="2880"/>
        </w:tabs>
        <w:ind w:left="2880" w:hanging="360"/>
      </w:pPr>
    </w:lvl>
    <w:lvl w:ilvl="4" w:tplc="4DF8AC2A">
      <w:start w:val="1"/>
      <w:numFmt w:val="decimal"/>
      <w:lvlText w:val="%5."/>
      <w:lvlJc w:val="left"/>
      <w:pPr>
        <w:tabs>
          <w:tab w:val="num" w:pos="3600"/>
        </w:tabs>
        <w:ind w:left="3600" w:hanging="360"/>
      </w:pPr>
    </w:lvl>
    <w:lvl w:ilvl="5" w:tplc="46965018">
      <w:start w:val="1"/>
      <w:numFmt w:val="decimal"/>
      <w:lvlText w:val="%6."/>
      <w:lvlJc w:val="left"/>
      <w:pPr>
        <w:tabs>
          <w:tab w:val="num" w:pos="4320"/>
        </w:tabs>
        <w:ind w:left="4320" w:hanging="360"/>
      </w:pPr>
    </w:lvl>
    <w:lvl w:ilvl="6" w:tplc="34C2418C">
      <w:start w:val="1"/>
      <w:numFmt w:val="decimal"/>
      <w:lvlText w:val="%7."/>
      <w:lvlJc w:val="left"/>
      <w:pPr>
        <w:tabs>
          <w:tab w:val="num" w:pos="5040"/>
        </w:tabs>
        <w:ind w:left="5040" w:hanging="360"/>
      </w:pPr>
    </w:lvl>
    <w:lvl w:ilvl="7" w:tplc="E65293A2">
      <w:start w:val="1"/>
      <w:numFmt w:val="decimal"/>
      <w:lvlText w:val="%8."/>
      <w:lvlJc w:val="left"/>
      <w:pPr>
        <w:tabs>
          <w:tab w:val="num" w:pos="5760"/>
        </w:tabs>
        <w:ind w:left="5760" w:hanging="360"/>
      </w:pPr>
    </w:lvl>
    <w:lvl w:ilvl="8" w:tplc="234EE07E">
      <w:start w:val="1"/>
      <w:numFmt w:val="decimal"/>
      <w:lvlText w:val="%9."/>
      <w:lvlJc w:val="left"/>
      <w:pPr>
        <w:tabs>
          <w:tab w:val="num" w:pos="6480"/>
        </w:tabs>
        <w:ind w:left="6480" w:hanging="360"/>
      </w:pPr>
    </w:lvl>
  </w:abstractNum>
  <w:abstractNum w:abstractNumId="4">
    <w:nsid w:val="7C39639A"/>
    <w:multiLevelType w:val="hybridMultilevel"/>
    <w:tmpl w:val="6672A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0"/>
    </w:lvlOverride>
    <w:lvlOverride w:ilvl="1">
      <w:startOverride w:val="4"/>
    </w:lvlOverride>
    <w:lvlOverride w:ilvl="2">
      <w:startOverride w:val="201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72C"/>
    <w:rsid w:val="00A56F8C"/>
    <w:rsid w:val="00E60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EB9C51-3EF2-444D-8FCB-7C627F1A3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72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E6072C"/>
    <w:rPr>
      <w:rFonts w:ascii="Times New Roman" w:eastAsiaTheme="minorEastAsia" w:hAnsi="Times New Roman" w:cs="Times New Roman"/>
      <w:lang w:eastAsia="ru-RU"/>
    </w:rPr>
  </w:style>
  <w:style w:type="paragraph" w:styleId="a4">
    <w:name w:val="No Spacing"/>
    <w:link w:val="a3"/>
    <w:uiPriority w:val="99"/>
    <w:qFormat/>
    <w:rsid w:val="00E6072C"/>
    <w:pPr>
      <w:spacing w:after="0" w:line="240" w:lineRule="auto"/>
    </w:pPr>
    <w:rPr>
      <w:rFonts w:ascii="Times New Roman" w:eastAsiaTheme="minorEastAsia" w:hAnsi="Times New Roman" w:cs="Times New Roman"/>
      <w:lang w:eastAsia="ru-RU"/>
    </w:rPr>
  </w:style>
  <w:style w:type="character" w:customStyle="1" w:styleId="a5">
    <w:name w:val="Абзац списка Знак"/>
    <w:aliases w:val="List Paragraph1 Знак"/>
    <w:link w:val="a6"/>
    <w:uiPriority w:val="34"/>
    <w:locked/>
    <w:rsid w:val="00E6072C"/>
  </w:style>
  <w:style w:type="paragraph" w:styleId="a6">
    <w:name w:val="List Paragraph"/>
    <w:aliases w:val="List Paragraph1"/>
    <w:basedOn w:val="a"/>
    <w:link w:val="a5"/>
    <w:uiPriority w:val="34"/>
    <w:qFormat/>
    <w:rsid w:val="00E6072C"/>
    <w:pPr>
      <w:ind w:left="720"/>
      <w:contextualSpacing/>
    </w:pPr>
  </w:style>
  <w:style w:type="table" w:styleId="a7">
    <w:name w:val="Table Grid"/>
    <w:basedOn w:val="a1"/>
    <w:uiPriority w:val="59"/>
    <w:rsid w:val="00E60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34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1090</Words>
  <Characters>6219</Characters>
  <Application>Microsoft Office Word</Application>
  <DocSecurity>0</DocSecurity>
  <Lines>51</Lines>
  <Paragraphs>14</Paragraphs>
  <ScaleCrop>false</ScaleCrop>
  <Company/>
  <LinksUpToDate>false</LinksUpToDate>
  <CharactersWithSpaces>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2018-03-27T05:17:00Z</dcterms:created>
  <dcterms:modified xsi:type="dcterms:W3CDTF">2018-03-27T05:18:00Z</dcterms:modified>
</cp:coreProperties>
</file>